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920" w:rsidRPr="00F64920" w:rsidRDefault="00F64920" w:rsidP="00F64920">
      <w:pPr>
        <w:widowControl/>
        <w:suppressAutoHyphens w:val="0"/>
        <w:spacing w:line="360" w:lineRule="auto"/>
        <w:jc w:val="both"/>
        <w:rPr>
          <w:rFonts w:ascii="Calibri" w:eastAsia="Calibri" w:hAnsi="Calibri"/>
          <w:b/>
          <w:color w:val="FF0000"/>
          <w:sz w:val="36"/>
          <w:szCs w:val="36"/>
          <w:lang w:val="en-US" w:eastAsia="en-US"/>
        </w:rPr>
      </w:pPr>
      <w:r w:rsidRPr="00F64920">
        <w:rPr>
          <w:rFonts w:ascii="Calibri" w:eastAsia="Calibri" w:hAnsi="Calibri"/>
          <w:b/>
          <w:color w:val="FF0000"/>
          <w:sz w:val="36"/>
          <w:szCs w:val="36"/>
          <w:lang w:val="en-US" w:eastAsia="en-US"/>
        </w:rPr>
        <w:t>The article is published in Ukrainian in the journal. The English text is given in the author's version</w:t>
      </w:r>
    </w:p>
    <w:p w:rsidR="003A3B25" w:rsidRDefault="00F64920">
      <w:pPr>
        <w:spacing w:line="360" w:lineRule="auto"/>
        <w:jc w:val="both"/>
        <w:rPr>
          <w:b/>
          <w:sz w:val="28"/>
          <w:szCs w:val="28"/>
          <w:lang w:val="uk-UA"/>
        </w:rPr>
      </w:pPr>
      <w:bookmarkStart w:id="0" w:name="_GoBack"/>
      <w:bookmarkEnd w:id="0"/>
      <w:r>
        <w:rPr>
          <w:b/>
          <w:sz w:val="28"/>
          <w:szCs w:val="28"/>
          <w:lang w:val="uk-UA"/>
        </w:rPr>
        <w:t xml:space="preserve">УДК: </w:t>
      </w:r>
      <w:r>
        <w:rPr>
          <w:sz w:val="28"/>
          <w:szCs w:val="28"/>
          <w:lang w:val="uk-UA"/>
        </w:rPr>
        <w:t>582.521.42:581.43:615.07</w:t>
      </w:r>
    </w:p>
    <w:p w:rsidR="003A3B25" w:rsidRDefault="00F64920">
      <w:pPr>
        <w:autoSpaceDE w:val="0"/>
        <w:spacing w:line="360" w:lineRule="auto"/>
        <w:rPr>
          <w:i/>
          <w:sz w:val="28"/>
          <w:szCs w:val="28"/>
          <w:lang w:val="uk-UA"/>
        </w:rPr>
      </w:pPr>
      <w:r>
        <w:rPr>
          <w:sz w:val="28"/>
          <w:szCs w:val="28"/>
          <w:lang w:val="uk-UA"/>
        </w:rPr>
        <w:t xml:space="preserve">Яременко М.С., Гонтова Т.М., Сіра Л.М., Котова Е.Е., Котов А.Г. </w:t>
      </w:r>
    </w:p>
    <w:p w:rsidR="003A3B25" w:rsidRDefault="00F64920">
      <w:pPr>
        <w:autoSpaceDE w:val="0"/>
        <w:spacing w:line="360" w:lineRule="auto"/>
        <w:rPr>
          <w:i/>
          <w:sz w:val="28"/>
          <w:szCs w:val="28"/>
          <w:lang w:val="uk-UA"/>
        </w:rPr>
      </w:pPr>
      <w:r>
        <w:rPr>
          <w:i/>
          <w:sz w:val="28"/>
          <w:szCs w:val="28"/>
          <w:lang w:val="uk-UA"/>
        </w:rPr>
        <w:t>ДП «Український науковий фармакопейний центр якості лікарських засобів», Харків, Україна</w:t>
      </w:r>
    </w:p>
    <w:p w:rsidR="003A3B25" w:rsidRDefault="00F64920">
      <w:pPr>
        <w:spacing w:line="360" w:lineRule="auto"/>
        <w:rPr>
          <w:b/>
          <w:sz w:val="28"/>
          <w:szCs w:val="28"/>
          <w:lang w:val="uk-UA"/>
        </w:rPr>
      </w:pPr>
      <w:r>
        <w:rPr>
          <w:b/>
          <w:sz w:val="28"/>
          <w:szCs w:val="28"/>
          <w:lang w:val="uk-UA"/>
        </w:rPr>
        <w:t xml:space="preserve">ПІДХОДИ ДО РОЗРОБКИ МОНОГРАФІЇ “ЛЕПЕХИ ЗВИЧАЙНОЇ КОРЕНЕВИЩА” ДЛЯ </w:t>
      </w:r>
      <w:r>
        <w:rPr>
          <w:b/>
          <w:sz w:val="28"/>
          <w:szCs w:val="28"/>
          <w:lang w:val="uk-UA"/>
        </w:rPr>
        <w:t>ВКЛЮЧЕННЯ У ДЕРЖАВНУ ФАРМАКОПЕЮ УКРАЇНИ</w:t>
      </w:r>
    </w:p>
    <w:p w:rsidR="003A3B25" w:rsidRDefault="00F64920">
      <w:pPr>
        <w:spacing w:line="360" w:lineRule="auto"/>
        <w:ind w:firstLine="709"/>
        <w:jc w:val="both"/>
        <w:rPr>
          <w:sz w:val="28"/>
          <w:szCs w:val="28"/>
          <w:lang w:val="uk-UA"/>
        </w:rPr>
      </w:pPr>
      <w:r>
        <w:rPr>
          <w:sz w:val="28"/>
          <w:szCs w:val="28"/>
          <w:lang w:val="uk-UA"/>
        </w:rPr>
        <w:t>Запропоновано підходи до розробки монографії “Лепехи звичайної кореневища” для включення у Державну Фармакопею України на основі аналізу монографій на кореневище лепехи звичайної, представлених в таких нормативних до</w:t>
      </w:r>
      <w:r>
        <w:rPr>
          <w:sz w:val="28"/>
          <w:szCs w:val="28"/>
          <w:lang w:val="uk-UA"/>
        </w:rPr>
        <w:t>кументах (НД): Государственной фармакопее СССР (ГФ) ХІ видання, Государственной фармакопеи Республики Беларусь (ГФ РБ), Німецькому Фармацевтичному кодексу (</w:t>
      </w:r>
      <w:r>
        <w:rPr>
          <w:iCs/>
          <w:sz w:val="28"/>
          <w:szCs w:val="28"/>
          <w:lang w:val="de-DE"/>
        </w:rPr>
        <w:t>Deutscher</w:t>
      </w:r>
      <w:r>
        <w:rPr>
          <w:iCs/>
          <w:sz w:val="28"/>
          <w:szCs w:val="28"/>
          <w:lang w:val="uk-UA"/>
        </w:rPr>
        <w:t xml:space="preserve"> </w:t>
      </w:r>
      <w:r>
        <w:rPr>
          <w:iCs/>
          <w:sz w:val="28"/>
          <w:szCs w:val="28"/>
          <w:lang w:val="de-DE"/>
        </w:rPr>
        <w:t>Arzneimittel</w:t>
      </w:r>
      <w:r>
        <w:rPr>
          <w:iCs/>
          <w:sz w:val="28"/>
          <w:szCs w:val="28"/>
          <w:lang w:val="uk-UA"/>
        </w:rPr>
        <w:t xml:space="preserve"> </w:t>
      </w:r>
      <w:r>
        <w:rPr>
          <w:iCs/>
          <w:sz w:val="28"/>
          <w:szCs w:val="28"/>
          <w:lang w:val="de-DE"/>
        </w:rPr>
        <w:t>Codex</w:t>
      </w:r>
      <w:r>
        <w:rPr>
          <w:iCs/>
          <w:sz w:val="28"/>
          <w:szCs w:val="28"/>
          <w:lang w:val="uk-UA"/>
        </w:rPr>
        <w:t xml:space="preserve">, </w:t>
      </w:r>
      <w:r>
        <w:rPr>
          <w:iCs/>
          <w:sz w:val="28"/>
          <w:szCs w:val="28"/>
          <w:lang w:val="en-US"/>
        </w:rPr>
        <w:t>DA</w:t>
      </w:r>
      <w:r>
        <w:rPr>
          <w:iCs/>
          <w:sz w:val="28"/>
          <w:szCs w:val="28"/>
          <w:lang w:val="uk-UA"/>
        </w:rPr>
        <w:t>С 2011),</w:t>
      </w:r>
      <w:r>
        <w:rPr>
          <w:i/>
          <w:iCs/>
          <w:sz w:val="28"/>
          <w:szCs w:val="28"/>
          <w:lang w:val="uk-UA"/>
        </w:rPr>
        <w:t xml:space="preserve"> </w:t>
      </w:r>
      <w:r>
        <w:rPr>
          <w:sz w:val="28"/>
          <w:szCs w:val="28"/>
          <w:lang w:val="uk-UA"/>
        </w:rPr>
        <w:t xml:space="preserve">Австрійській Фармакопеї 2006 (Österreichisches Аrzneibuch, </w:t>
      </w:r>
      <w:r>
        <w:rPr>
          <w:sz w:val="28"/>
          <w:szCs w:val="28"/>
          <w:lang w:val="uk-UA"/>
        </w:rPr>
        <w:t>Ö</w:t>
      </w:r>
      <w:r>
        <w:rPr>
          <w:sz w:val="28"/>
          <w:szCs w:val="28"/>
          <w:lang w:val="en-US"/>
        </w:rPr>
        <w:t>AB</w:t>
      </w:r>
      <w:r>
        <w:rPr>
          <w:sz w:val="28"/>
          <w:szCs w:val="28"/>
          <w:lang w:val="uk-UA"/>
        </w:rPr>
        <w:t>) та Китайській Фармакопеї 2005 (</w:t>
      </w:r>
      <w:r>
        <w:rPr>
          <w:sz w:val="28"/>
          <w:szCs w:val="28"/>
          <w:lang w:val="en-US"/>
        </w:rPr>
        <w:t>CPh</w:t>
      </w:r>
      <w:r>
        <w:rPr>
          <w:sz w:val="28"/>
          <w:szCs w:val="28"/>
          <w:lang w:val="uk-UA"/>
        </w:rPr>
        <w:t>).</w:t>
      </w:r>
    </w:p>
    <w:p w:rsidR="003A3B25" w:rsidRDefault="00F64920">
      <w:pPr>
        <w:spacing w:line="360" w:lineRule="auto"/>
        <w:ind w:firstLine="709"/>
        <w:jc w:val="both"/>
        <w:rPr>
          <w:sz w:val="28"/>
          <w:szCs w:val="28"/>
          <w:lang w:val="uk-UA"/>
        </w:rPr>
      </w:pPr>
      <w:r>
        <w:rPr>
          <w:b/>
          <w:sz w:val="28"/>
          <w:szCs w:val="28"/>
          <w:lang w:val="uk-UA"/>
        </w:rPr>
        <w:t xml:space="preserve">Ключові слова: </w:t>
      </w:r>
      <w:r>
        <w:rPr>
          <w:sz w:val="28"/>
          <w:szCs w:val="28"/>
          <w:lang w:val="uk-UA"/>
        </w:rPr>
        <w:t>лепеха звичайна; кореневища; стандартизація; ідентифікація; Державна Фармакопея України.</w:t>
      </w:r>
    </w:p>
    <w:p w:rsidR="003A3B25" w:rsidRDefault="003A3B25">
      <w:pPr>
        <w:spacing w:line="360" w:lineRule="auto"/>
        <w:ind w:firstLine="709"/>
        <w:jc w:val="both"/>
        <w:rPr>
          <w:sz w:val="28"/>
          <w:szCs w:val="28"/>
          <w:lang w:val="uk-UA"/>
        </w:rPr>
      </w:pPr>
    </w:p>
    <w:p w:rsidR="003A3B25" w:rsidRDefault="00F64920">
      <w:pPr>
        <w:spacing w:line="360" w:lineRule="auto"/>
        <w:ind w:firstLine="709"/>
        <w:jc w:val="center"/>
        <w:rPr>
          <w:b/>
          <w:sz w:val="28"/>
          <w:szCs w:val="28"/>
          <w:lang w:val="uk-UA"/>
        </w:rPr>
      </w:pPr>
      <w:r>
        <w:rPr>
          <w:b/>
          <w:sz w:val="28"/>
          <w:szCs w:val="28"/>
          <w:lang w:val="uk-UA"/>
        </w:rPr>
        <w:t>ПОСТАНОВКА ПРОБЛЕМИ</w:t>
      </w:r>
    </w:p>
    <w:p w:rsidR="003A3B25" w:rsidRDefault="00F64920">
      <w:pPr>
        <w:spacing w:line="360" w:lineRule="auto"/>
        <w:ind w:firstLine="709"/>
        <w:jc w:val="both"/>
        <w:rPr>
          <w:sz w:val="28"/>
          <w:szCs w:val="28"/>
          <w:lang w:val="uk-UA"/>
        </w:rPr>
      </w:pPr>
      <w:r>
        <w:rPr>
          <w:sz w:val="28"/>
          <w:szCs w:val="28"/>
          <w:lang w:val="uk-UA"/>
        </w:rPr>
        <w:t>Лепеха звичайна – лікарська рослина з широким ареалом розповсюдження і значним медичним п</w:t>
      </w:r>
      <w:r>
        <w:rPr>
          <w:sz w:val="28"/>
          <w:szCs w:val="28"/>
          <w:lang w:val="uk-UA"/>
        </w:rPr>
        <w:t xml:space="preserve">отенціалом. Поширена в Європі, Прибалтиці, на Кавказі, в Малій Азії, Індії, Китаї, Японії, в Північній Америці. Зустрічається майже по всій території України. Росте по берегах річок і водойм, на болотах і болотистих луках </w:t>
      </w:r>
      <w:r>
        <w:rPr>
          <w:sz w:val="28"/>
          <w:szCs w:val="28"/>
        </w:rPr>
        <w:t>[3, 5]</w:t>
      </w:r>
      <w:r>
        <w:rPr>
          <w:sz w:val="28"/>
          <w:szCs w:val="28"/>
          <w:lang w:val="uk-UA"/>
        </w:rPr>
        <w:t xml:space="preserve">. </w:t>
      </w:r>
    </w:p>
    <w:p w:rsidR="003A3B25" w:rsidRDefault="00F64920">
      <w:pPr>
        <w:spacing w:line="360" w:lineRule="auto"/>
        <w:ind w:firstLine="709"/>
        <w:jc w:val="both"/>
        <w:rPr>
          <w:sz w:val="28"/>
          <w:szCs w:val="28"/>
          <w:lang w:val="uk-UA"/>
        </w:rPr>
      </w:pPr>
      <w:r>
        <w:rPr>
          <w:sz w:val="28"/>
          <w:szCs w:val="28"/>
          <w:lang w:val="uk-UA"/>
        </w:rPr>
        <w:t>Кореневище лепехи звичайн</w:t>
      </w:r>
      <w:r>
        <w:rPr>
          <w:sz w:val="28"/>
          <w:szCs w:val="28"/>
          <w:lang w:val="uk-UA"/>
        </w:rPr>
        <w:t xml:space="preserve">ої проявляє велику кількість різноманітних фармакологічних властивостей, а саме антимікробну, протизапальну, заспокійливу, противиразкову, спазмолітичну, протипухлинну, ноотропну, </w:t>
      </w:r>
      <w:r>
        <w:rPr>
          <w:sz w:val="28"/>
          <w:szCs w:val="28"/>
          <w:lang w:val="uk-UA"/>
        </w:rPr>
        <w:lastRenderedPageBreak/>
        <w:t>транквілізуючу, протиастматичну, антисклеротичну, протисудомну дію та інші [</w:t>
      </w:r>
      <w:r>
        <w:rPr>
          <w:sz w:val="28"/>
          <w:szCs w:val="28"/>
          <w:lang w:val="uk-UA"/>
        </w:rPr>
        <w:t>3, 9, 12]. На основі кореневищ лепехи звичайної створено лікарські рослинні засоби (ЛРЗ), які використовуються при різних захворюваннях і проявляють широкий терапевтичний ефект. Наприклад, «Вікалін», «Вікаїр», «Гербогастрин» (Україна) використовують для лі</w:t>
      </w:r>
      <w:r>
        <w:rPr>
          <w:sz w:val="28"/>
          <w:szCs w:val="28"/>
          <w:lang w:val="uk-UA"/>
        </w:rPr>
        <w:t>кування виразкової хвороби шлунку; «Оліментин», «Поліфітол» (Україна), «</w:t>
      </w:r>
      <w:r>
        <w:rPr>
          <w:sz w:val="28"/>
          <w:szCs w:val="28"/>
          <w:lang w:val="en-US"/>
        </w:rPr>
        <w:t>Urogran</w:t>
      </w:r>
      <w:r>
        <w:rPr>
          <w:sz w:val="28"/>
          <w:szCs w:val="28"/>
          <w:lang w:val="uk-UA"/>
        </w:rPr>
        <w:t>» (Польща), настойка та настій сухих кореневищ застосовують при жовчокам’яній та ниркокам’яній хворобах; «</w:t>
      </w:r>
      <w:r>
        <w:rPr>
          <w:sz w:val="28"/>
          <w:szCs w:val="28"/>
          <w:lang w:val="en-US"/>
        </w:rPr>
        <w:t>Arcalen</w:t>
      </w:r>
      <w:r>
        <w:rPr>
          <w:sz w:val="28"/>
          <w:szCs w:val="28"/>
          <w:lang w:val="uk-UA"/>
        </w:rPr>
        <w:t>» (Польща) – дієвий препарат протизапальної дії, що сприяє реген</w:t>
      </w:r>
      <w:r>
        <w:rPr>
          <w:sz w:val="28"/>
          <w:szCs w:val="28"/>
          <w:lang w:val="uk-UA"/>
        </w:rPr>
        <w:t>ерації і грануляції при ранах, опіках, фурункульозі; «</w:t>
      </w:r>
      <w:r>
        <w:rPr>
          <w:sz w:val="28"/>
          <w:szCs w:val="28"/>
          <w:lang w:val="en-US"/>
        </w:rPr>
        <w:t>Depuratum</w:t>
      </w:r>
      <w:r>
        <w:rPr>
          <w:sz w:val="28"/>
          <w:szCs w:val="28"/>
          <w:lang w:val="uk-UA"/>
        </w:rPr>
        <w:t>» (Франція) використовують для систематичного лікування запорів при диспепсичних станах; «</w:t>
      </w:r>
      <w:r>
        <w:rPr>
          <w:sz w:val="28"/>
          <w:szCs w:val="28"/>
          <w:lang w:val="en-US"/>
        </w:rPr>
        <w:t>Gastrol</w:t>
      </w:r>
      <w:r>
        <w:rPr>
          <w:sz w:val="28"/>
          <w:szCs w:val="28"/>
          <w:lang w:val="uk-UA"/>
        </w:rPr>
        <w:t>» (Германія) – при неврозах шлунку, диспепсії, гастрокардіальному синдромі; препарати «</w:t>
      </w:r>
      <w:r>
        <w:rPr>
          <w:sz w:val="28"/>
          <w:szCs w:val="28"/>
          <w:lang w:val="en-US"/>
        </w:rPr>
        <w:t>Sedovent</w:t>
      </w:r>
      <w:r>
        <w:rPr>
          <w:sz w:val="28"/>
          <w:szCs w:val="28"/>
          <w:lang w:val="uk-UA"/>
        </w:rPr>
        <w:t>»</w:t>
      </w:r>
      <w:r>
        <w:rPr>
          <w:sz w:val="28"/>
          <w:szCs w:val="28"/>
          <w:lang w:val="uk-UA"/>
        </w:rPr>
        <w:t xml:space="preserve"> і «</w:t>
      </w:r>
      <w:r>
        <w:rPr>
          <w:sz w:val="28"/>
          <w:szCs w:val="28"/>
          <w:lang w:val="en-US"/>
        </w:rPr>
        <w:t>Gallexier</w:t>
      </w:r>
      <w:r>
        <w:rPr>
          <w:sz w:val="28"/>
          <w:szCs w:val="28"/>
          <w:lang w:val="uk-UA"/>
        </w:rPr>
        <w:t>» (Германія) рекомендовано використовувати для збудження апетиту, покращені функцій шлунку, пониженій кислотності; «Stovalid» (Германія) – при диспепсичних розладах, що супроводжуються втратою апетиту, відчуттям тяжкості в епігастрії, метеориз</w:t>
      </w:r>
      <w:r>
        <w:rPr>
          <w:sz w:val="28"/>
          <w:szCs w:val="28"/>
          <w:lang w:val="uk-UA"/>
        </w:rPr>
        <w:t>мі [3].</w:t>
      </w:r>
    </w:p>
    <w:p w:rsidR="003A3B25" w:rsidRDefault="00F64920">
      <w:pPr>
        <w:spacing w:line="360" w:lineRule="auto"/>
        <w:ind w:firstLine="709"/>
        <w:jc w:val="both"/>
        <w:rPr>
          <w:sz w:val="28"/>
          <w:szCs w:val="28"/>
          <w:lang w:val="uk-UA"/>
        </w:rPr>
      </w:pPr>
      <w:r>
        <w:rPr>
          <w:sz w:val="28"/>
          <w:szCs w:val="28"/>
          <w:lang w:val="uk-UA"/>
        </w:rPr>
        <w:t>Кореневища лепехи звичайної – ефіровмісна сировина. До її складу входять ряд монотерпенів – α- і β-пінен, α-терпінен, γ- терпінен, β-феландрен, лімонен, D-камфен, D-камфора, борнеол. Наявні сполуки сесквітерпенового ряду – шиобунон, епішуобунон, 2,</w:t>
      </w:r>
      <w:r>
        <w:rPr>
          <w:sz w:val="28"/>
          <w:szCs w:val="28"/>
          <w:lang w:val="uk-UA"/>
        </w:rPr>
        <w:t>6-диепішуобунон, каламендіол, гвайен, каріофілен, ізоакорон, елемен, неокарон, сесквітерпеновий спирт каламеол. Специфічний запах ефірної олії обумовлений наявність похідних фенілпропану – азарілальдегіду і азарону. Окрім ефірної олії виявленгі жирні та ор</w:t>
      </w:r>
      <w:r>
        <w:rPr>
          <w:sz w:val="28"/>
          <w:szCs w:val="28"/>
          <w:lang w:val="uk-UA"/>
        </w:rPr>
        <w:t>ганічні кислоти, флавон – галаніном, лігнін – акорадином. Також наявний стероїд – β-сітостерол. Також кореневища лепехи містять специфічний глікозид акорин та гіркота акоретин [</w:t>
      </w:r>
      <w:r w:rsidRPr="00F64920">
        <w:rPr>
          <w:sz w:val="28"/>
          <w:szCs w:val="28"/>
          <w:lang w:val="uk-UA"/>
        </w:rPr>
        <w:t>3</w:t>
      </w:r>
      <w:r>
        <w:rPr>
          <w:sz w:val="28"/>
          <w:szCs w:val="28"/>
          <w:lang w:val="uk-UA"/>
        </w:rPr>
        <w:t xml:space="preserve">, </w:t>
      </w:r>
      <w:r w:rsidRPr="00F64920">
        <w:rPr>
          <w:sz w:val="28"/>
          <w:szCs w:val="28"/>
          <w:lang w:val="uk-UA"/>
        </w:rPr>
        <w:t>9</w:t>
      </w:r>
      <w:r>
        <w:rPr>
          <w:sz w:val="28"/>
          <w:szCs w:val="28"/>
          <w:lang w:val="uk-UA"/>
        </w:rPr>
        <w:t>, 1</w:t>
      </w:r>
      <w:r w:rsidRPr="00F64920">
        <w:rPr>
          <w:sz w:val="28"/>
          <w:szCs w:val="28"/>
          <w:lang w:val="uk-UA"/>
        </w:rPr>
        <w:t>2</w:t>
      </w:r>
      <w:r>
        <w:rPr>
          <w:sz w:val="28"/>
          <w:szCs w:val="28"/>
          <w:lang w:val="uk-UA"/>
        </w:rPr>
        <w:t>].</w:t>
      </w:r>
    </w:p>
    <w:p w:rsidR="003A3B25" w:rsidRDefault="00F64920">
      <w:pPr>
        <w:spacing w:line="360" w:lineRule="auto"/>
        <w:ind w:firstLine="709"/>
        <w:jc w:val="both"/>
        <w:rPr>
          <w:sz w:val="28"/>
          <w:szCs w:val="28"/>
          <w:lang w:val="uk-UA"/>
        </w:rPr>
      </w:pPr>
      <w:r>
        <w:rPr>
          <w:sz w:val="28"/>
          <w:szCs w:val="28"/>
          <w:lang w:val="uk-UA"/>
        </w:rPr>
        <w:t xml:space="preserve">За літературними даними відомо, що в залежності від місця зростання </w:t>
      </w:r>
      <w:r>
        <w:rPr>
          <w:sz w:val="28"/>
          <w:szCs w:val="28"/>
          <w:lang w:val="uk-UA"/>
        </w:rPr>
        <w:t>лепеха має мінливий склад ефірної олії, це може впливати на її фармакологічну активність [3]. Існують хемотипи лепехи, що містять у своєму складі токсичні компоненти α- та β-азарон, який проявляє канцерогенну та мутагенну дію [</w:t>
      </w:r>
      <w:r w:rsidRPr="00F64920">
        <w:rPr>
          <w:sz w:val="28"/>
          <w:szCs w:val="28"/>
          <w:lang w:val="uk-UA"/>
        </w:rPr>
        <w:t>9</w:t>
      </w:r>
      <w:r>
        <w:rPr>
          <w:sz w:val="28"/>
          <w:szCs w:val="28"/>
          <w:lang w:val="uk-UA"/>
        </w:rPr>
        <w:t xml:space="preserve">, </w:t>
      </w:r>
      <w:r>
        <w:rPr>
          <w:sz w:val="28"/>
          <w:szCs w:val="28"/>
          <w:lang w:val="uk-UA"/>
        </w:rPr>
        <w:lastRenderedPageBreak/>
        <w:t>1</w:t>
      </w:r>
      <w:r w:rsidRPr="00F64920">
        <w:rPr>
          <w:sz w:val="28"/>
          <w:szCs w:val="28"/>
          <w:lang w:val="uk-UA"/>
        </w:rPr>
        <w:t>2</w:t>
      </w:r>
      <w:r>
        <w:rPr>
          <w:sz w:val="28"/>
          <w:szCs w:val="28"/>
          <w:lang w:val="uk-UA"/>
        </w:rPr>
        <w:t>, 1</w:t>
      </w:r>
      <w:r w:rsidRPr="00F64920">
        <w:rPr>
          <w:sz w:val="28"/>
          <w:szCs w:val="28"/>
          <w:lang w:val="uk-UA"/>
        </w:rPr>
        <w:t>3</w:t>
      </w:r>
      <w:r>
        <w:rPr>
          <w:sz w:val="28"/>
          <w:szCs w:val="28"/>
          <w:lang w:val="uk-UA"/>
        </w:rPr>
        <w:t>]. Тому важливим є і</w:t>
      </w:r>
      <w:r>
        <w:rPr>
          <w:sz w:val="28"/>
          <w:szCs w:val="28"/>
          <w:lang w:val="uk-UA"/>
        </w:rPr>
        <w:t>дентифікація і кількісне визначення азарону у сировині лепехи звичайної.</w:t>
      </w:r>
    </w:p>
    <w:p w:rsidR="003A3B25" w:rsidRDefault="00F64920">
      <w:pPr>
        <w:spacing w:line="360" w:lineRule="auto"/>
        <w:ind w:firstLine="709"/>
        <w:jc w:val="center"/>
        <w:rPr>
          <w:rStyle w:val="a4"/>
          <w:color w:val="000000"/>
          <w:sz w:val="28"/>
          <w:szCs w:val="28"/>
          <w:shd w:val="clear" w:color="auto" w:fill="FFFFFF"/>
          <w:lang w:val="uk-UA"/>
        </w:rPr>
      </w:pPr>
      <w:r>
        <w:rPr>
          <w:rStyle w:val="a4"/>
          <w:color w:val="000000"/>
          <w:sz w:val="28"/>
          <w:szCs w:val="28"/>
          <w:shd w:val="clear" w:color="auto" w:fill="FFFFFF"/>
          <w:lang w:val="uk-UA"/>
        </w:rPr>
        <w:t>ВИДІЛЕННЯ НЕВИРІШЕНИХ РАНІШЕ ЧАСТИН ЗАГАЛЬНОЇ ПРОБЛЕМИ</w:t>
      </w:r>
    </w:p>
    <w:p w:rsidR="003A3B25" w:rsidRDefault="00F64920">
      <w:pPr>
        <w:spacing w:line="360" w:lineRule="auto"/>
        <w:ind w:firstLine="709"/>
        <w:jc w:val="both"/>
        <w:rPr>
          <w:sz w:val="28"/>
          <w:szCs w:val="28"/>
          <w:lang w:val="uk-UA"/>
        </w:rPr>
      </w:pPr>
      <w:r>
        <w:rPr>
          <w:sz w:val="28"/>
          <w:szCs w:val="28"/>
          <w:lang w:val="uk-UA"/>
        </w:rPr>
        <w:t xml:space="preserve">До цього часу, в Україні діючою нормативною документацією на даний вид ЛРС є стаття фармакопеї ГФ ХІ видання «Кореневища аира». </w:t>
      </w:r>
      <w:r>
        <w:rPr>
          <w:sz w:val="28"/>
          <w:szCs w:val="28"/>
          <w:lang w:val="uk-UA"/>
        </w:rPr>
        <w:t>Більшість методів контролю якості сировини, що регламентує ця стаття, вже застарілі і не відповідають сучасним вимогам аналізу ЛРС. Тому актуальним є розробка національної монографії на даний вид сировини з урахуванням світового фармакопейного досвіду анал</w:t>
      </w:r>
      <w:r>
        <w:rPr>
          <w:sz w:val="28"/>
          <w:szCs w:val="28"/>
          <w:lang w:val="uk-UA"/>
        </w:rPr>
        <w:t>ізу лікарської рослинної сировини [4, 6].</w:t>
      </w:r>
    </w:p>
    <w:p w:rsidR="003A3B25" w:rsidRDefault="00F64920">
      <w:pPr>
        <w:spacing w:line="360" w:lineRule="auto"/>
        <w:ind w:firstLine="709"/>
        <w:jc w:val="both"/>
        <w:rPr>
          <w:sz w:val="28"/>
          <w:szCs w:val="28"/>
          <w:lang w:val="uk-UA"/>
        </w:rPr>
      </w:pPr>
      <w:r>
        <w:rPr>
          <w:sz w:val="28"/>
          <w:szCs w:val="28"/>
          <w:lang w:val="uk-UA"/>
        </w:rPr>
        <w:t xml:space="preserve">Відповідно до концепції створення та введення до ДФУ монографій на ЛРС, кореневища лепехи звичайної відносяться до переліку ЛРС, що описана у ГФ ХІ видання і відсутня у Європейській фармакопеї [4, 6]. </w:t>
      </w:r>
    </w:p>
    <w:p w:rsidR="003A3B25" w:rsidRDefault="00F64920">
      <w:pPr>
        <w:spacing w:line="360" w:lineRule="auto"/>
        <w:ind w:firstLine="709"/>
        <w:jc w:val="center"/>
        <w:rPr>
          <w:b/>
          <w:sz w:val="28"/>
          <w:szCs w:val="28"/>
          <w:lang w:val="uk-UA"/>
        </w:rPr>
      </w:pPr>
      <w:r>
        <w:rPr>
          <w:b/>
          <w:sz w:val="28"/>
          <w:szCs w:val="28"/>
          <w:lang w:val="uk-UA"/>
        </w:rPr>
        <w:t>ФОРМУВАННЯ Ц</w:t>
      </w:r>
      <w:r>
        <w:rPr>
          <w:b/>
          <w:sz w:val="28"/>
          <w:szCs w:val="28"/>
          <w:lang w:val="uk-UA"/>
        </w:rPr>
        <w:t>ІЛЕЙ СТАТТІ</w:t>
      </w:r>
    </w:p>
    <w:p w:rsidR="003A3B25" w:rsidRDefault="00F64920">
      <w:pPr>
        <w:spacing w:line="360" w:lineRule="auto"/>
        <w:ind w:firstLine="709"/>
        <w:jc w:val="both"/>
        <w:rPr>
          <w:sz w:val="28"/>
          <w:szCs w:val="28"/>
          <w:lang w:val="uk-UA"/>
        </w:rPr>
      </w:pPr>
      <w:r>
        <w:rPr>
          <w:sz w:val="28"/>
          <w:szCs w:val="28"/>
          <w:lang w:val="uk-UA"/>
        </w:rPr>
        <w:t>Метою нашої роботи було порівняння критеріїв стандартизації кореневищ лепехи звичайної у ГФ ХІ, ГФ РБ,</w:t>
      </w:r>
      <w:r>
        <w:rPr>
          <w:iCs/>
          <w:sz w:val="28"/>
          <w:szCs w:val="28"/>
          <w:lang w:val="uk-UA"/>
        </w:rPr>
        <w:t xml:space="preserve"> </w:t>
      </w:r>
      <w:r>
        <w:rPr>
          <w:iCs/>
          <w:sz w:val="28"/>
          <w:szCs w:val="28"/>
          <w:lang w:val="en-US"/>
        </w:rPr>
        <w:t>DA</w:t>
      </w:r>
      <w:r>
        <w:rPr>
          <w:iCs/>
          <w:sz w:val="28"/>
          <w:szCs w:val="28"/>
          <w:lang w:val="uk-UA"/>
        </w:rPr>
        <w:t xml:space="preserve">С, </w:t>
      </w:r>
      <w:r>
        <w:rPr>
          <w:sz w:val="28"/>
          <w:szCs w:val="28"/>
          <w:lang w:val="uk-UA"/>
        </w:rPr>
        <w:t>Ö</w:t>
      </w:r>
      <w:r>
        <w:rPr>
          <w:sz w:val="28"/>
          <w:szCs w:val="28"/>
          <w:lang w:val="en-US"/>
        </w:rPr>
        <w:t>AB</w:t>
      </w:r>
      <w:r>
        <w:rPr>
          <w:sz w:val="28"/>
          <w:szCs w:val="28"/>
          <w:lang w:val="uk-UA"/>
        </w:rPr>
        <w:t xml:space="preserve">, </w:t>
      </w:r>
      <w:r>
        <w:rPr>
          <w:sz w:val="28"/>
          <w:szCs w:val="28"/>
          <w:lang w:val="en-US"/>
        </w:rPr>
        <w:t>CPh</w:t>
      </w:r>
      <w:r>
        <w:rPr>
          <w:sz w:val="28"/>
          <w:szCs w:val="28"/>
          <w:lang w:val="uk-UA"/>
        </w:rPr>
        <w:t xml:space="preserve"> та визначення підходів щодо стандартизації якості сировини при розробці монографії «Лепехи звичайної  кореневища» відповідно до</w:t>
      </w:r>
      <w:r>
        <w:rPr>
          <w:sz w:val="28"/>
          <w:szCs w:val="28"/>
          <w:lang w:val="uk-UA"/>
        </w:rPr>
        <w:t xml:space="preserve"> сучасних вимог до якості ЛРС.</w:t>
      </w:r>
    </w:p>
    <w:p w:rsidR="003A3B25" w:rsidRDefault="003A3B25">
      <w:pPr>
        <w:rPr>
          <w:lang w:val="uk-UA"/>
        </w:rPr>
      </w:pPr>
    </w:p>
    <w:p w:rsidR="003A3B25" w:rsidRDefault="00F64920">
      <w:pPr>
        <w:spacing w:line="360" w:lineRule="auto"/>
        <w:ind w:firstLine="709"/>
        <w:jc w:val="center"/>
        <w:rPr>
          <w:b/>
          <w:sz w:val="28"/>
          <w:szCs w:val="28"/>
          <w:lang w:val="uk-UA"/>
        </w:rPr>
      </w:pPr>
      <w:r>
        <w:rPr>
          <w:b/>
          <w:sz w:val="28"/>
          <w:szCs w:val="28"/>
          <w:lang w:val="uk-UA"/>
        </w:rPr>
        <w:t>ВИКЛАД ОСНОВНОГО МАТЕРІАЛУ ДОСЛІДЖЕННЯ</w:t>
      </w:r>
    </w:p>
    <w:p w:rsidR="003A3B25" w:rsidRDefault="00F64920">
      <w:pPr>
        <w:spacing w:line="360" w:lineRule="auto"/>
        <w:ind w:firstLine="709"/>
        <w:jc w:val="both"/>
        <w:rPr>
          <w:iCs/>
          <w:sz w:val="28"/>
          <w:szCs w:val="28"/>
          <w:lang w:val="uk-UA"/>
        </w:rPr>
      </w:pPr>
      <w:r>
        <w:rPr>
          <w:sz w:val="28"/>
          <w:szCs w:val="28"/>
          <w:lang w:val="uk-UA"/>
        </w:rPr>
        <w:t xml:space="preserve">Сировину кореневища лепехи звичайної – Rhizome Calami описано у Фармакопеях СРСР </w:t>
      </w:r>
      <w:r>
        <w:rPr>
          <w:sz w:val="28"/>
          <w:szCs w:val="28"/>
          <w:lang w:val="en-US"/>
        </w:rPr>
        <w:t>XI</w:t>
      </w:r>
      <w:r>
        <w:rPr>
          <w:sz w:val="28"/>
          <w:szCs w:val="28"/>
          <w:lang w:val="uk-UA"/>
        </w:rPr>
        <w:t xml:space="preserve"> видання,  ГФ РБ, DAB,</w:t>
      </w:r>
      <w:r>
        <w:rPr>
          <w:iCs/>
          <w:sz w:val="28"/>
          <w:szCs w:val="28"/>
          <w:lang w:val="uk-UA"/>
        </w:rPr>
        <w:t xml:space="preserve"> ÖAB та </w:t>
      </w:r>
      <w:r>
        <w:rPr>
          <w:sz w:val="28"/>
          <w:szCs w:val="28"/>
          <w:lang w:val="en-US"/>
        </w:rPr>
        <w:t>CPh</w:t>
      </w:r>
      <w:r>
        <w:rPr>
          <w:iCs/>
          <w:sz w:val="28"/>
          <w:szCs w:val="28"/>
          <w:lang w:val="uk-UA"/>
        </w:rPr>
        <w:t>.</w:t>
      </w:r>
    </w:p>
    <w:p w:rsidR="003A3B25" w:rsidRDefault="00F64920">
      <w:pPr>
        <w:spacing w:line="360" w:lineRule="auto"/>
        <w:ind w:firstLine="709"/>
        <w:jc w:val="both"/>
        <w:rPr>
          <w:sz w:val="28"/>
          <w:szCs w:val="28"/>
          <w:lang w:val="uk-UA"/>
        </w:rPr>
      </w:pPr>
      <w:r>
        <w:rPr>
          <w:sz w:val="28"/>
          <w:szCs w:val="28"/>
          <w:lang w:val="uk-UA"/>
        </w:rPr>
        <w:t>Досліджуючи критерії стандартизації, наведені у зазначених вище док</w:t>
      </w:r>
      <w:r>
        <w:rPr>
          <w:sz w:val="28"/>
          <w:szCs w:val="28"/>
          <w:lang w:val="uk-UA"/>
        </w:rPr>
        <w:t xml:space="preserve">ументах, виявлено наступне: </w:t>
      </w:r>
    </w:p>
    <w:p w:rsidR="003A3B25" w:rsidRDefault="00F64920">
      <w:pPr>
        <w:numPr>
          <w:ilvl w:val="0"/>
          <w:numId w:val="2"/>
        </w:numPr>
        <w:tabs>
          <w:tab w:val="left" w:pos="0"/>
        </w:tabs>
        <w:spacing w:line="360" w:lineRule="auto"/>
        <w:ind w:left="0" w:firstLine="709"/>
        <w:jc w:val="both"/>
        <w:rPr>
          <w:sz w:val="28"/>
          <w:szCs w:val="28"/>
          <w:lang w:val="uk-UA"/>
        </w:rPr>
      </w:pPr>
      <w:r>
        <w:rPr>
          <w:sz w:val="28"/>
          <w:szCs w:val="28"/>
          <w:lang w:val="uk-UA"/>
        </w:rPr>
        <w:t>назва статей/монографій відрізняється: так у ГФ Х</w:t>
      </w:r>
      <w:r>
        <w:rPr>
          <w:sz w:val="28"/>
          <w:szCs w:val="28"/>
          <w:lang w:val="en-US"/>
        </w:rPr>
        <w:t>I</w:t>
      </w:r>
      <w:r>
        <w:rPr>
          <w:sz w:val="28"/>
          <w:szCs w:val="28"/>
          <w:lang w:val="uk-UA"/>
        </w:rPr>
        <w:t>– «</w:t>
      </w:r>
      <w:r>
        <w:rPr>
          <w:sz w:val="28"/>
          <w:szCs w:val="28"/>
          <w:lang w:val="en-US"/>
        </w:rPr>
        <w:t>Rhizomata</w:t>
      </w:r>
      <w:r>
        <w:rPr>
          <w:sz w:val="28"/>
          <w:szCs w:val="28"/>
          <w:lang w:val="uk-UA"/>
        </w:rPr>
        <w:t xml:space="preserve"> </w:t>
      </w:r>
      <w:r>
        <w:rPr>
          <w:sz w:val="28"/>
          <w:szCs w:val="28"/>
          <w:lang w:val="en-US"/>
        </w:rPr>
        <w:t>Calami</w:t>
      </w:r>
      <w:r>
        <w:rPr>
          <w:sz w:val="28"/>
          <w:szCs w:val="28"/>
          <w:lang w:val="uk-UA"/>
        </w:rPr>
        <w:t>» (Кореневища Лепехи), в ГФ РБ – «</w:t>
      </w:r>
      <w:r>
        <w:rPr>
          <w:sz w:val="28"/>
          <w:szCs w:val="28"/>
          <w:lang w:val="en-US"/>
        </w:rPr>
        <w:t>Acori</w:t>
      </w:r>
      <w:r>
        <w:rPr>
          <w:sz w:val="28"/>
          <w:szCs w:val="28"/>
          <w:lang w:val="uk-UA"/>
        </w:rPr>
        <w:t xml:space="preserve"> </w:t>
      </w:r>
      <w:r>
        <w:rPr>
          <w:sz w:val="28"/>
          <w:szCs w:val="28"/>
          <w:lang w:val="en-US"/>
        </w:rPr>
        <w:t>Calami</w:t>
      </w:r>
      <w:r>
        <w:rPr>
          <w:sz w:val="28"/>
          <w:szCs w:val="28"/>
          <w:lang w:val="uk-UA"/>
        </w:rPr>
        <w:t xml:space="preserve"> </w:t>
      </w:r>
      <w:r>
        <w:rPr>
          <w:sz w:val="28"/>
          <w:szCs w:val="28"/>
          <w:lang w:val="en-US"/>
        </w:rPr>
        <w:t>rhizomata</w:t>
      </w:r>
      <w:r>
        <w:rPr>
          <w:sz w:val="28"/>
          <w:szCs w:val="28"/>
          <w:lang w:val="uk-UA"/>
        </w:rPr>
        <w:t>» (Лепехи Кореневища), Ö</w:t>
      </w:r>
      <w:r>
        <w:rPr>
          <w:sz w:val="28"/>
          <w:szCs w:val="28"/>
          <w:lang w:val="en-US"/>
        </w:rPr>
        <w:t>AB</w:t>
      </w:r>
      <w:r>
        <w:rPr>
          <w:sz w:val="28"/>
          <w:szCs w:val="28"/>
          <w:lang w:val="uk-UA"/>
        </w:rPr>
        <w:t xml:space="preserve"> –  «Radix Calami» (Корені Лепехи), у</w:t>
      </w:r>
      <w:r>
        <w:rPr>
          <w:iCs/>
          <w:sz w:val="28"/>
          <w:szCs w:val="28"/>
          <w:lang w:val="uk-UA"/>
        </w:rPr>
        <w:t xml:space="preserve"> </w:t>
      </w:r>
      <w:r>
        <w:rPr>
          <w:iCs/>
          <w:sz w:val="28"/>
          <w:szCs w:val="28"/>
          <w:lang w:val="en-US"/>
        </w:rPr>
        <w:t>DA</w:t>
      </w:r>
      <w:r>
        <w:rPr>
          <w:iCs/>
          <w:sz w:val="28"/>
          <w:szCs w:val="28"/>
          <w:lang w:val="uk-UA"/>
        </w:rPr>
        <w:t>С –</w:t>
      </w:r>
      <w:r>
        <w:rPr>
          <w:sz w:val="28"/>
          <w:szCs w:val="28"/>
          <w:lang w:val="uk-UA"/>
        </w:rPr>
        <w:t xml:space="preserve"> «</w:t>
      </w:r>
      <w:r>
        <w:rPr>
          <w:sz w:val="28"/>
          <w:szCs w:val="28"/>
          <w:lang w:val="en-US"/>
        </w:rPr>
        <w:t>Calami</w:t>
      </w:r>
      <w:r>
        <w:rPr>
          <w:sz w:val="28"/>
          <w:szCs w:val="28"/>
          <w:lang w:val="uk-UA"/>
        </w:rPr>
        <w:t xml:space="preserve"> </w:t>
      </w:r>
      <w:r>
        <w:rPr>
          <w:sz w:val="28"/>
          <w:szCs w:val="28"/>
          <w:lang w:val="en-US"/>
        </w:rPr>
        <w:t>rhizoma</w:t>
      </w:r>
      <w:r>
        <w:rPr>
          <w:sz w:val="28"/>
          <w:szCs w:val="28"/>
          <w:lang w:val="uk-UA"/>
        </w:rPr>
        <w:t xml:space="preserve">» (Лепехи кореневища) та в </w:t>
      </w:r>
      <w:r>
        <w:rPr>
          <w:sz w:val="28"/>
          <w:szCs w:val="28"/>
          <w:lang w:val="en-US"/>
        </w:rPr>
        <w:t>CPh</w:t>
      </w:r>
      <w:r>
        <w:rPr>
          <w:sz w:val="28"/>
          <w:szCs w:val="28"/>
          <w:lang w:val="uk-UA"/>
        </w:rPr>
        <w:t xml:space="preserve"> – «</w:t>
      </w:r>
      <w:r>
        <w:rPr>
          <w:sz w:val="28"/>
          <w:szCs w:val="28"/>
          <w:lang w:val="en-US"/>
        </w:rPr>
        <w:t>Rhizoma</w:t>
      </w:r>
      <w:r>
        <w:rPr>
          <w:sz w:val="28"/>
          <w:szCs w:val="28"/>
          <w:lang w:val="uk-UA"/>
        </w:rPr>
        <w:t xml:space="preserve"> </w:t>
      </w:r>
      <w:r>
        <w:rPr>
          <w:sz w:val="28"/>
          <w:szCs w:val="28"/>
          <w:lang w:val="en-US"/>
        </w:rPr>
        <w:t>Acori</w:t>
      </w:r>
      <w:r>
        <w:rPr>
          <w:sz w:val="28"/>
          <w:szCs w:val="28"/>
          <w:lang w:val="uk-UA"/>
        </w:rPr>
        <w:t xml:space="preserve"> </w:t>
      </w:r>
      <w:r>
        <w:rPr>
          <w:sz w:val="28"/>
          <w:szCs w:val="28"/>
          <w:lang w:val="en-US"/>
        </w:rPr>
        <w:t>Calami</w:t>
      </w:r>
      <w:r>
        <w:rPr>
          <w:sz w:val="28"/>
          <w:szCs w:val="28"/>
          <w:lang w:val="uk-UA"/>
        </w:rPr>
        <w:t>» [1, 2, 7, 8, 10];</w:t>
      </w:r>
    </w:p>
    <w:p w:rsidR="003A3B25" w:rsidRDefault="00F64920">
      <w:pPr>
        <w:numPr>
          <w:ilvl w:val="0"/>
          <w:numId w:val="2"/>
        </w:numPr>
        <w:tabs>
          <w:tab w:val="left" w:pos="0"/>
        </w:tabs>
        <w:spacing w:line="360" w:lineRule="auto"/>
        <w:ind w:left="0" w:firstLine="709"/>
        <w:jc w:val="both"/>
        <w:rPr>
          <w:sz w:val="28"/>
          <w:szCs w:val="28"/>
          <w:lang w:val="uk-UA"/>
        </w:rPr>
      </w:pPr>
      <w:r>
        <w:rPr>
          <w:color w:val="000000"/>
          <w:sz w:val="28"/>
          <w:szCs w:val="28"/>
          <w:lang w:val="uk-UA"/>
        </w:rPr>
        <w:t xml:space="preserve">для сировини у </w:t>
      </w:r>
      <w:r>
        <w:rPr>
          <w:iCs/>
          <w:sz w:val="28"/>
          <w:szCs w:val="28"/>
          <w:lang w:val="en-US"/>
        </w:rPr>
        <w:t>DA</w:t>
      </w:r>
      <w:r>
        <w:rPr>
          <w:iCs/>
          <w:sz w:val="28"/>
          <w:szCs w:val="28"/>
          <w:lang w:val="uk-UA"/>
        </w:rPr>
        <w:t xml:space="preserve">С, </w:t>
      </w:r>
      <w:r>
        <w:rPr>
          <w:sz w:val="28"/>
          <w:szCs w:val="28"/>
          <w:lang w:val="uk-UA"/>
        </w:rPr>
        <w:t>Ö</w:t>
      </w:r>
      <w:r>
        <w:rPr>
          <w:sz w:val="28"/>
          <w:szCs w:val="28"/>
          <w:lang w:val="en-US"/>
        </w:rPr>
        <w:t>AB</w:t>
      </w:r>
      <w:r>
        <w:rPr>
          <w:sz w:val="28"/>
          <w:szCs w:val="28"/>
          <w:lang w:val="uk-UA"/>
        </w:rPr>
        <w:t xml:space="preserve">, </w:t>
      </w:r>
      <w:r>
        <w:rPr>
          <w:sz w:val="28"/>
          <w:szCs w:val="28"/>
          <w:lang w:val="en-US"/>
        </w:rPr>
        <w:t>CPh</w:t>
      </w:r>
      <w:r>
        <w:rPr>
          <w:sz w:val="28"/>
          <w:szCs w:val="28"/>
          <w:lang w:val="uk-UA"/>
        </w:rPr>
        <w:t xml:space="preserve"> та ГФ</w:t>
      </w:r>
      <w:r>
        <w:rPr>
          <w:color w:val="000000"/>
          <w:sz w:val="28"/>
          <w:szCs w:val="28"/>
          <w:lang w:val="uk-UA"/>
        </w:rPr>
        <w:t xml:space="preserve"> Х</w:t>
      </w:r>
      <w:r>
        <w:rPr>
          <w:color w:val="000000"/>
          <w:sz w:val="28"/>
          <w:szCs w:val="28"/>
          <w:lang w:val="en-US"/>
        </w:rPr>
        <w:t>I</w:t>
      </w:r>
      <w:r>
        <w:rPr>
          <w:color w:val="000000"/>
          <w:sz w:val="28"/>
          <w:szCs w:val="28"/>
          <w:lang w:val="uk-UA"/>
        </w:rPr>
        <w:t xml:space="preserve"> наведено її запах і смак, </w:t>
      </w:r>
      <w:r>
        <w:rPr>
          <w:color w:val="000000"/>
          <w:sz w:val="28"/>
          <w:szCs w:val="28"/>
          <w:lang w:val="uk-UA"/>
        </w:rPr>
        <w:lastRenderedPageBreak/>
        <w:t xml:space="preserve">а в ГФ РБ тільки запах; у статті ГФ ХІ  – смак сировини регламентується як пряно-гіркий, у </w:t>
      </w:r>
      <w:r>
        <w:rPr>
          <w:sz w:val="28"/>
          <w:szCs w:val="28"/>
          <w:lang w:val="uk-UA"/>
        </w:rPr>
        <w:t>Ö</w:t>
      </w:r>
      <w:r>
        <w:rPr>
          <w:sz w:val="28"/>
          <w:szCs w:val="28"/>
          <w:lang w:val="en-US"/>
        </w:rPr>
        <w:t>AB</w:t>
      </w:r>
      <w:r>
        <w:rPr>
          <w:sz w:val="28"/>
          <w:szCs w:val="28"/>
          <w:lang w:val="uk-UA"/>
        </w:rPr>
        <w:t xml:space="preserve"> – описаний як специфічн</w:t>
      </w:r>
      <w:r>
        <w:rPr>
          <w:sz w:val="28"/>
          <w:szCs w:val="28"/>
          <w:lang w:val="uk-UA"/>
        </w:rPr>
        <w:t xml:space="preserve">ий, гострий і в той же час гіркий, у </w:t>
      </w:r>
      <w:r>
        <w:rPr>
          <w:iCs/>
          <w:sz w:val="28"/>
          <w:szCs w:val="28"/>
          <w:lang w:val="en-US"/>
        </w:rPr>
        <w:t>DA</w:t>
      </w:r>
      <w:r>
        <w:rPr>
          <w:iCs/>
          <w:sz w:val="28"/>
          <w:szCs w:val="28"/>
          <w:lang w:val="uk-UA"/>
        </w:rPr>
        <w:t xml:space="preserve">С </w:t>
      </w:r>
      <w:r>
        <w:rPr>
          <w:color w:val="000000"/>
          <w:sz w:val="28"/>
          <w:szCs w:val="28"/>
          <w:lang w:val="uk-UA"/>
        </w:rPr>
        <w:t>–</w:t>
      </w:r>
      <w:r>
        <w:rPr>
          <w:sz w:val="28"/>
          <w:szCs w:val="28"/>
          <w:lang w:val="uk-UA"/>
        </w:rPr>
        <w:t xml:space="preserve"> запах ароматний, а смак – гострий, злегка гіркуватий, у </w:t>
      </w:r>
      <w:r>
        <w:rPr>
          <w:sz w:val="28"/>
          <w:szCs w:val="28"/>
          <w:lang w:val="en-US"/>
        </w:rPr>
        <w:t>CPh</w:t>
      </w:r>
      <w:r>
        <w:rPr>
          <w:sz w:val="28"/>
          <w:szCs w:val="28"/>
          <w:lang w:val="uk-UA"/>
        </w:rPr>
        <w:t xml:space="preserve"> – запах сировини сильний та характерний, смак – гострий</w:t>
      </w:r>
      <w:r>
        <w:rPr>
          <w:sz w:val="28"/>
          <w:szCs w:val="28"/>
        </w:rPr>
        <w:t xml:space="preserve"> </w:t>
      </w:r>
      <w:r>
        <w:rPr>
          <w:sz w:val="28"/>
          <w:szCs w:val="28"/>
          <w:lang w:val="uk-UA"/>
        </w:rPr>
        <w:t>[</w:t>
      </w:r>
      <w:r>
        <w:rPr>
          <w:sz w:val="28"/>
          <w:szCs w:val="28"/>
        </w:rPr>
        <w:t>1</w:t>
      </w:r>
      <w:r>
        <w:rPr>
          <w:sz w:val="28"/>
          <w:szCs w:val="28"/>
          <w:lang w:val="uk-UA"/>
        </w:rPr>
        <w:t xml:space="preserve">, </w:t>
      </w:r>
      <w:r>
        <w:rPr>
          <w:sz w:val="28"/>
          <w:szCs w:val="28"/>
        </w:rPr>
        <w:t>2</w:t>
      </w:r>
      <w:r>
        <w:rPr>
          <w:sz w:val="28"/>
          <w:szCs w:val="28"/>
          <w:lang w:val="uk-UA"/>
        </w:rPr>
        <w:t>, 7, 8, 10];</w:t>
      </w:r>
    </w:p>
    <w:p w:rsidR="003A3B25" w:rsidRDefault="00F64920">
      <w:pPr>
        <w:numPr>
          <w:ilvl w:val="0"/>
          <w:numId w:val="2"/>
        </w:numPr>
        <w:tabs>
          <w:tab w:val="left" w:pos="0"/>
        </w:tabs>
        <w:spacing w:line="360" w:lineRule="auto"/>
        <w:ind w:left="0" w:firstLine="709"/>
        <w:jc w:val="both"/>
        <w:rPr>
          <w:strike/>
          <w:color w:val="000000"/>
          <w:sz w:val="28"/>
          <w:szCs w:val="28"/>
          <w:lang w:val="uk-UA"/>
        </w:rPr>
      </w:pPr>
      <w:r>
        <w:rPr>
          <w:sz w:val="28"/>
          <w:szCs w:val="28"/>
          <w:lang w:val="uk-UA"/>
        </w:rPr>
        <w:t xml:space="preserve">у всіх НД в розділі «Макроскопія» наведені морфологічні ознаки цілої сировини, </w:t>
      </w:r>
      <w:r>
        <w:rPr>
          <w:sz w:val="28"/>
          <w:szCs w:val="28"/>
          <w:lang w:val="uk-UA"/>
        </w:rPr>
        <w:t xml:space="preserve">додатково у </w:t>
      </w:r>
      <w:r>
        <w:rPr>
          <w:iCs/>
          <w:sz w:val="28"/>
          <w:szCs w:val="28"/>
          <w:lang w:val="en-US"/>
        </w:rPr>
        <w:t>DA</w:t>
      </w:r>
      <w:r>
        <w:rPr>
          <w:iCs/>
          <w:sz w:val="28"/>
          <w:szCs w:val="28"/>
          <w:lang w:val="uk-UA"/>
        </w:rPr>
        <w:t>С</w:t>
      </w:r>
      <w:r>
        <w:rPr>
          <w:sz w:val="28"/>
          <w:szCs w:val="28"/>
          <w:lang w:val="uk-UA"/>
        </w:rPr>
        <w:t>, Ö</w:t>
      </w:r>
      <w:r>
        <w:rPr>
          <w:sz w:val="28"/>
          <w:szCs w:val="28"/>
          <w:lang w:val="en-US"/>
        </w:rPr>
        <w:t>AB</w:t>
      </w:r>
      <w:r>
        <w:rPr>
          <w:sz w:val="28"/>
          <w:szCs w:val="28"/>
          <w:lang w:val="uk-UA"/>
        </w:rPr>
        <w:t xml:space="preserve"> та ГФ</w:t>
      </w:r>
      <w:r>
        <w:rPr>
          <w:color w:val="000000"/>
          <w:sz w:val="28"/>
          <w:szCs w:val="28"/>
          <w:lang w:val="uk-UA"/>
        </w:rPr>
        <w:t xml:space="preserve"> ХІ наведені також ознаки подрібненої сировини (а у ГФ ХІ ще й порошку) </w:t>
      </w:r>
      <w:r>
        <w:rPr>
          <w:sz w:val="28"/>
          <w:szCs w:val="28"/>
          <w:lang w:val="uk-UA"/>
        </w:rPr>
        <w:t>[1, 2, 7, 8, 10]</w:t>
      </w:r>
      <w:r>
        <w:rPr>
          <w:color w:val="000000"/>
          <w:sz w:val="28"/>
          <w:szCs w:val="28"/>
          <w:lang w:val="uk-UA"/>
        </w:rPr>
        <w:t>;</w:t>
      </w:r>
      <w:r>
        <w:rPr>
          <w:strike/>
          <w:color w:val="000000"/>
          <w:sz w:val="28"/>
          <w:szCs w:val="28"/>
          <w:lang w:val="uk-UA"/>
        </w:rPr>
        <w:t xml:space="preserve"> </w:t>
      </w:r>
    </w:p>
    <w:p w:rsidR="003A3B25" w:rsidRDefault="00F64920">
      <w:pPr>
        <w:numPr>
          <w:ilvl w:val="0"/>
          <w:numId w:val="2"/>
        </w:numPr>
        <w:tabs>
          <w:tab w:val="left" w:pos="0"/>
        </w:tabs>
        <w:spacing w:line="360" w:lineRule="auto"/>
        <w:ind w:left="0" w:firstLine="709"/>
        <w:jc w:val="both"/>
        <w:rPr>
          <w:sz w:val="28"/>
          <w:szCs w:val="28"/>
          <w:lang w:val="uk-UA"/>
        </w:rPr>
      </w:pPr>
      <w:r>
        <w:rPr>
          <w:sz w:val="28"/>
          <w:szCs w:val="28"/>
          <w:lang w:val="uk-UA"/>
        </w:rPr>
        <w:t>у розділі «Мікроскопія» ГФ РБ та Ö</w:t>
      </w:r>
      <w:r>
        <w:rPr>
          <w:sz w:val="28"/>
          <w:szCs w:val="28"/>
          <w:lang w:val="en-US"/>
        </w:rPr>
        <w:t>AB</w:t>
      </w:r>
      <w:r>
        <w:rPr>
          <w:sz w:val="28"/>
          <w:szCs w:val="28"/>
          <w:lang w:val="uk-UA"/>
        </w:rPr>
        <w:t xml:space="preserve"> регламентує мікроскопічні ознаки цілих кореневищ, а ГФ ХІ та </w:t>
      </w:r>
      <w:r>
        <w:rPr>
          <w:iCs/>
          <w:sz w:val="28"/>
          <w:szCs w:val="28"/>
          <w:lang w:val="en-US"/>
        </w:rPr>
        <w:t>DA</w:t>
      </w:r>
      <w:r>
        <w:rPr>
          <w:iCs/>
          <w:sz w:val="28"/>
          <w:szCs w:val="28"/>
          <w:lang w:val="uk-UA"/>
        </w:rPr>
        <w:t>С</w:t>
      </w:r>
      <w:r>
        <w:rPr>
          <w:sz w:val="28"/>
          <w:szCs w:val="28"/>
          <w:lang w:val="uk-UA"/>
        </w:rPr>
        <w:t xml:space="preserve"> описує діагностичні ознаки цілої сировини і порошку, у </w:t>
      </w:r>
      <w:r>
        <w:rPr>
          <w:sz w:val="28"/>
          <w:szCs w:val="28"/>
          <w:lang w:val="en-US"/>
        </w:rPr>
        <w:t>CPh</w:t>
      </w:r>
      <w:r>
        <w:rPr>
          <w:sz w:val="28"/>
          <w:szCs w:val="28"/>
          <w:lang w:val="uk-UA"/>
        </w:rPr>
        <w:t xml:space="preserve"> даний розділ відсутній [1, 2, 7, 8, 10];</w:t>
      </w:r>
    </w:p>
    <w:p w:rsidR="003A3B25" w:rsidRDefault="00F64920">
      <w:pPr>
        <w:numPr>
          <w:ilvl w:val="0"/>
          <w:numId w:val="2"/>
        </w:numPr>
        <w:tabs>
          <w:tab w:val="left" w:pos="0"/>
        </w:tabs>
        <w:spacing w:line="360" w:lineRule="auto"/>
        <w:ind w:left="0" w:firstLine="709"/>
        <w:jc w:val="both"/>
        <w:rPr>
          <w:sz w:val="28"/>
          <w:szCs w:val="28"/>
          <w:lang w:val="uk-UA"/>
        </w:rPr>
      </w:pPr>
      <w:r>
        <w:rPr>
          <w:sz w:val="28"/>
          <w:szCs w:val="28"/>
          <w:lang w:val="uk-UA"/>
        </w:rPr>
        <w:t>Ö</w:t>
      </w:r>
      <w:r>
        <w:rPr>
          <w:sz w:val="28"/>
          <w:szCs w:val="28"/>
          <w:lang w:val="en-US"/>
        </w:rPr>
        <w:t>AB</w:t>
      </w:r>
      <w:r>
        <w:rPr>
          <w:sz w:val="28"/>
          <w:szCs w:val="28"/>
          <w:lang w:val="uk-UA"/>
        </w:rPr>
        <w:t xml:space="preserve"> в розділі ідентифікація приводить якісну реакцію з </w:t>
      </w:r>
      <w:r>
        <w:rPr>
          <w:color w:val="000000"/>
          <w:sz w:val="28"/>
          <w:szCs w:val="28"/>
          <w:lang w:val="uk-UA"/>
        </w:rPr>
        <w:t>розчином заліза (ІІІ) хлориду</w:t>
      </w:r>
      <w:r>
        <w:rPr>
          <w:sz w:val="28"/>
          <w:szCs w:val="28"/>
          <w:lang w:val="uk-UA"/>
        </w:rPr>
        <w:t xml:space="preserve"> , а також з винною кислотою в суміші з концентрованою сірчаною кислото</w:t>
      </w:r>
      <w:r>
        <w:rPr>
          <w:sz w:val="28"/>
          <w:szCs w:val="28"/>
          <w:lang w:val="uk-UA"/>
        </w:rPr>
        <w:t xml:space="preserve">ю, </w:t>
      </w:r>
      <w:r>
        <w:rPr>
          <w:color w:val="000000"/>
          <w:sz w:val="28"/>
          <w:szCs w:val="28"/>
          <w:lang w:val="uk-UA"/>
        </w:rPr>
        <w:t xml:space="preserve">ГФ РБ приводить якісну реакцію з розчином заліза (ІІІ) хлориду </w:t>
      </w:r>
      <w:r>
        <w:rPr>
          <w:sz w:val="28"/>
          <w:szCs w:val="28"/>
          <w:lang w:val="uk-UA"/>
        </w:rPr>
        <w:t>[1, 8]</w:t>
      </w:r>
      <w:r>
        <w:rPr>
          <w:color w:val="000000"/>
          <w:sz w:val="28"/>
          <w:szCs w:val="28"/>
          <w:lang w:val="uk-UA"/>
        </w:rPr>
        <w:t>;</w:t>
      </w:r>
      <w:r>
        <w:rPr>
          <w:sz w:val="28"/>
          <w:szCs w:val="28"/>
          <w:lang w:val="uk-UA"/>
        </w:rPr>
        <w:t xml:space="preserve"> </w:t>
      </w:r>
    </w:p>
    <w:p w:rsidR="003A3B25" w:rsidRDefault="00F64920">
      <w:pPr>
        <w:numPr>
          <w:ilvl w:val="0"/>
          <w:numId w:val="2"/>
        </w:numPr>
        <w:tabs>
          <w:tab w:val="left" w:pos="0"/>
        </w:tabs>
        <w:spacing w:line="360" w:lineRule="auto"/>
        <w:ind w:left="0" w:firstLine="709"/>
        <w:jc w:val="both"/>
        <w:rPr>
          <w:sz w:val="28"/>
          <w:szCs w:val="28"/>
          <w:lang w:val="uk-UA"/>
        </w:rPr>
      </w:pPr>
      <w:r>
        <w:rPr>
          <w:sz w:val="28"/>
          <w:szCs w:val="28"/>
          <w:lang w:val="uk-UA"/>
        </w:rPr>
        <w:t>у всіх НД, за виключенням ГФ ХІ наведено методику ідентифікації сировини методом тонкошарової хроматографії в різних хроматографічних умовах з використанням в якості свідків тимолу,</w:t>
      </w:r>
      <w:r>
        <w:rPr>
          <w:sz w:val="28"/>
          <w:szCs w:val="28"/>
          <w:lang w:val="uk-UA"/>
        </w:rPr>
        <w:t xml:space="preserve"> анетолу, ліналолу (порівняльний аналіз методик докладно описаний у попередній публікації. </w:t>
      </w:r>
      <w:r>
        <w:rPr>
          <w:sz w:val="28"/>
          <w:szCs w:val="28"/>
          <w:lang w:val="en-US"/>
        </w:rPr>
        <w:t>CPh</w:t>
      </w:r>
      <w:r>
        <w:rPr>
          <w:sz w:val="28"/>
          <w:szCs w:val="28"/>
          <w:lang w:val="uk-UA"/>
        </w:rPr>
        <w:t xml:space="preserve"> – в якості свідка регламентує використовувати стандартний зразок Лепехи кореневищ, в якості рухомої фази – хлороформ, проявник – 10% розчин сірчаної кислоти в ет</w:t>
      </w:r>
      <w:r>
        <w:rPr>
          <w:sz w:val="28"/>
          <w:szCs w:val="28"/>
          <w:lang w:val="uk-UA"/>
        </w:rPr>
        <w:t xml:space="preserve">анолі, на хроматограмі випробовуваного розчину регламентується основна зона подібна такій самій зоні на хроматограмі розчину стандарту [1, 2, 7, 8, 10]; </w:t>
      </w:r>
    </w:p>
    <w:p w:rsidR="003A3B25" w:rsidRDefault="00F64920">
      <w:pPr>
        <w:numPr>
          <w:ilvl w:val="0"/>
          <w:numId w:val="2"/>
        </w:numPr>
        <w:tabs>
          <w:tab w:val="left" w:pos="0"/>
        </w:tabs>
        <w:spacing w:line="360" w:lineRule="auto"/>
        <w:ind w:left="0" w:firstLine="709"/>
        <w:jc w:val="both"/>
        <w:rPr>
          <w:sz w:val="28"/>
          <w:szCs w:val="28"/>
          <w:lang w:val="uk-UA"/>
        </w:rPr>
      </w:pPr>
      <w:r>
        <w:rPr>
          <w:sz w:val="28"/>
          <w:szCs w:val="28"/>
          <w:lang w:val="uk-UA"/>
        </w:rPr>
        <w:t xml:space="preserve">у всіх НД, за виключенням </w:t>
      </w:r>
      <w:r>
        <w:rPr>
          <w:sz w:val="28"/>
          <w:szCs w:val="28"/>
          <w:lang w:val="en-US"/>
        </w:rPr>
        <w:t>CPh</w:t>
      </w:r>
      <w:r>
        <w:rPr>
          <w:sz w:val="28"/>
          <w:szCs w:val="28"/>
          <w:lang w:val="uk-UA"/>
        </w:rPr>
        <w:t xml:space="preserve"> та Ö</w:t>
      </w:r>
      <w:r>
        <w:rPr>
          <w:sz w:val="28"/>
          <w:szCs w:val="28"/>
          <w:lang w:val="en-US"/>
        </w:rPr>
        <w:t>AB</w:t>
      </w:r>
      <w:r>
        <w:rPr>
          <w:sz w:val="28"/>
          <w:szCs w:val="28"/>
          <w:lang w:val="uk-UA"/>
        </w:rPr>
        <w:t xml:space="preserve">, регламентовано показник «Втрата в масі при висушуванні» в </w:t>
      </w:r>
      <w:r>
        <w:rPr>
          <w:sz w:val="28"/>
          <w:szCs w:val="28"/>
        </w:rPr>
        <w:t xml:space="preserve">ГФ </w:t>
      </w:r>
      <w:r>
        <w:rPr>
          <w:sz w:val="28"/>
          <w:szCs w:val="28"/>
          <w:lang w:val="uk-UA"/>
        </w:rPr>
        <w:t xml:space="preserve">ХІ </w:t>
      </w:r>
      <w:r>
        <w:rPr>
          <w:sz w:val="28"/>
          <w:szCs w:val="28"/>
          <w:lang w:val="uk-UA"/>
        </w:rPr>
        <w:t>–</w:t>
      </w:r>
      <w:r>
        <w:rPr>
          <w:sz w:val="28"/>
          <w:szCs w:val="28"/>
        </w:rPr>
        <w:t xml:space="preserve"> </w:t>
      </w:r>
      <w:r>
        <w:rPr>
          <w:sz w:val="28"/>
          <w:szCs w:val="28"/>
          <w:lang w:val="uk-UA"/>
        </w:rPr>
        <w:t>не більше 14%, в ГФ РБ</w:t>
      </w:r>
      <w:r>
        <w:rPr>
          <w:sz w:val="28"/>
          <w:szCs w:val="28"/>
        </w:rPr>
        <w:t xml:space="preserve"> </w:t>
      </w:r>
      <w:r>
        <w:rPr>
          <w:sz w:val="28"/>
          <w:szCs w:val="28"/>
          <w:lang w:val="uk-UA"/>
        </w:rPr>
        <w:t>–</w:t>
      </w:r>
      <w:r>
        <w:rPr>
          <w:sz w:val="28"/>
          <w:szCs w:val="28"/>
        </w:rPr>
        <w:t xml:space="preserve"> </w:t>
      </w:r>
      <w:r>
        <w:rPr>
          <w:sz w:val="28"/>
          <w:szCs w:val="28"/>
          <w:lang w:val="uk-UA"/>
        </w:rPr>
        <w:t xml:space="preserve">не більше 13%, в </w:t>
      </w:r>
      <w:r>
        <w:rPr>
          <w:iCs/>
          <w:sz w:val="28"/>
          <w:szCs w:val="28"/>
          <w:lang w:val="en-US"/>
        </w:rPr>
        <w:t>DA</w:t>
      </w:r>
      <w:r>
        <w:rPr>
          <w:iCs/>
          <w:sz w:val="28"/>
          <w:szCs w:val="28"/>
          <w:lang w:val="uk-UA"/>
        </w:rPr>
        <w:t xml:space="preserve">С </w:t>
      </w:r>
      <w:r>
        <w:rPr>
          <w:sz w:val="28"/>
          <w:szCs w:val="28"/>
          <w:lang w:val="uk-UA"/>
        </w:rPr>
        <w:t>– не більше 12%. Окрім цього ГФ ХІ видання регламентує також даний показник для порошку з кореневищ – не більше 10%</w:t>
      </w:r>
      <w:r>
        <w:rPr>
          <w:sz w:val="28"/>
          <w:szCs w:val="28"/>
        </w:rPr>
        <w:t xml:space="preserve"> </w:t>
      </w:r>
      <w:r>
        <w:rPr>
          <w:sz w:val="28"/>
          <w:szCs w:val="28"/>
          <w:lang w:val="uk-UA"/>
        </w:rPr>
        <w:t>[</w:t>
      </w:r>
      <w:r>
        <w:rPr>
          <w:sz w:val="28"/>
          <w:szCs w:val="28"/>
        </w:rPr>
        <w:t>1</w:t>
      </w:r>
      <w:r>
        <w:rPr>
          <w:sz w:val="28"/>
          <w:szCs w:val="28"/>
          <w:lang w:val="uk-UA"/>
        </w:rPr>
        <w:t xml:space="preserve">, </w:t>
      </w:r>
      <w:r>
        <w:rPr>
          <w:sz w:val="28"/>
          <w:szCs w:val="28"/>
        </w:rPr>
        <w:t>2</w:t>
      </w:r>
      <w:r>
        <w:rPr>
          <w:sz w:val="28"/>
          <w:szCs w:val="28"/>
          <w:lang w:val="uk-UA"/>
        </w:rPr>
        <w:t xml:space="preserve">, 7, 8, 10]; </w:t>
      </w:r>
    </w:p>
    <w:p w:rsidR="003A3B25" w:rsidRDefault="00F64920">
      <w:pPr>
        <w:numPr>
          <w:ilvl w:val="0"/>
          <w:numId w:val="2"/>
        </w:numPr>
        <w:tabs>
          <w:tab w:val="left" w:pos="0"/>
        </w:tabs>
        <w:spacing w:line="360" w:lineRule="auto"/>
        <w:ind w:left="0" w:firstLine="709"/>
        <w:jc w:val="both"/>
        <w:rPr>
          <w:color w:val="000000"/>
          <w:sz w:val="28"/>
          <w:szCs w:val="28"/>
          <w:lang w:val="uk-UA"/>
        </w:rPr>
      </w:pPr>
      <w:r>
        <w:rPr>
          <w:color w:val="000000"/>
          <w:sz w:val="28"/>
          <w:szCs w:val="28"/>
          <w:lang w:val="uk-UA"/>
        </w:rPr>
        <w:t>усі фармакопеї регламентують вміст загальної золі – не більше 6%, а показ</w:t>
      </w:r>
      <w:r>
        <w:rPr>
          <w:color w:val="000000"/>
          <w:sz w:val="28"/>
          <w:szCs w:val="28"/>
          <w:lang w:val="uk-UA"/>
        </w:rPr>
        <w:t xml:space="preserve">ник </w:t>
      </w:r>
      <w:r>
        <w:rPr>
          <w:sz w:val="28"/>
          <w:szCs w:val="28"/>
          <w:lang w:val="uk-UA"/>
        </w:rPr>
        <w:t>–</w:t>
      </w:r>
      <w:r>
        <w:rPr>
          <w:color w:val="000000"/>
          <w:sz w:val="28"/>
          <w:szCs w:val="28"/>
          <w:lang w:val="uk-UA"/>
        </w:rPr>
        <w:t xml:space="preserve"> вміст золи, не розчинної у хлористоводневій кислоті не регламентується</w:t>
      </w:r>
      <w:r>
        <w:rPr>
          <w:color w:val="000000"/>
          <w:sz w:val="28"/>
          <w:szCs w:val="28"/>
        </w:rPr>
        <w:t xml:space="preserve"> </w:t>
      </w:r>
      <w:r>
        <w:rPr>
          <w:sz w:val="28"/>
          <w:szCs w:val="28"/>
          <w:lang w:val="uk-UA"/>
        </w:rPr>
        <w:t>[</w:t>
      </w:r>
      <w:r>
        <w:rPr>
          <w:sz w:val="28"/>
          <w:szCs w:val="28"/>
        </w:rPr>
        <w:t>1</w:t>
      </w:r>
      <w:r>
        <w:rPr>
          <w:sz w:val="28"/>
          <w:szCs w:val="28"/>
          <w:lang w:val="uk-UA"/>
        </w:rPr>
        <w:t xml:space="preserve">, </w:t>
      </w:r>
      <w:r>
        <w:rPr>
          <w:sz w:val="28"/>
          <w:szCs w:val="28"/>
        </w:rPr>
        <w:t>2</w:t>
      </w:r>
      <w:r>
        <w:rPr>
          <w:sz w:val="28"/>
          <w:szCs w:val="28"/>
          <w:lang w:val="uk-UA"/>
        </w:rPr>
        <w:t>, 7, 8, 10]</w:t>
      </w:r>
      <w:r>
        <w:rPr>
          <w:color w:val="000000"/>
          <w:sz w:val="28"/>
          <w:szCs w:val="28"/>
          <w:lang w:val="uk-UA"/>
        </w:rPr>
        <w:t>;</w:t>
      </w:r>
    </w:p>
    <w:p w:rsidR="003A3B25" w:rsidRDefault="00F64920">
      <w:pPr>
        <w:numPr>
          <w:ilvl w:val="0"/>
          <w:numId w:val="2"/>
        </w:numPr>
        <w:tabs>
          <w:tab w:val="left" w:pos="0"/>
        </w:tabs>
        <w:spacing w:line="360" w:lineRule="auto"/>
        <w:ind w:left="0" w:firstLine="709"/>
        <w:jc w:val="both"/>
        <w:rPr>
          <w:color w:val="000000"/>
          <w:sz w:val="28"/>
          <w:szCs w:val="28"/>
          <w:lang w:val="uk-UA"/>
        </w:rPr>
      </w:pPr>
      <w:r>
        <w:rPr>
          <w:sz w:val="28"/>
          <w:szCs w:val="28"/>
          <w:lang w:val="uk-UA"/>
        </w:rPr>
        <w:lastRenderedPageBreak/>
        <w:t>у всіх НД в сировині регламентовано показник – вміст ефірної олії (не менше 20 мл/кг для цілої сировини), який визначається фармакопейним методом перегонки з вод</w:t>
      </w:r>
      <w:r>
        <w:rPr>
          <w:sz w:val="28"/>
          <w:szCs w:val="28"/>
          <w:lang w:val="uk-UA"/>
        </w:rPr>
        <w:t xml:space="preserve">яною парою. </w:t>
      </w:r>
      <w:r>
        <w:rPr>
          <w:iCs/>
          <w:sz w:val="28"/>
          <w:szCs w:val="28"/>
          <w:lang w:val="en-US"/>
        </w:rPr>
        <w:t>DA</w:t>
      </w:r>
      <w:r>
        <w:rPr>
          <w:iCs/>
          <w:sz w:val="28"/>
          <w:szCs w:val="28"/>
          <w:lang w:val="uk-UA"/>
        </w:rPr>
        <w:t xml:space="preserve">С </w:t>
      </w:r>
      <w:r>
        <w:rPr>
          <w:sz w:val="28"/>
          <w:szCs w:val="28"/>
          <w:lang w:val="uk-UA"/>
        </w:rPr>
        <w:t>та ГФ Х</w:t>
      </w:r>
      <w:r>
        <w:rPr>
          <w:sz w:val="28"/>
          <w:szCs w:val="28"/>
          <w:lang w:val="en-US"/>
        </w:rPr>
        <w:t>I</w:t>
      </w:r>
      <w:r>
        <w:rPr>
          <w:sz w:val="28"/>
          <w:szCs w:val="28"/>
          <w:lang w:val="uk-UA"/>
        </w:rPr>
        <w:t xml:space="preserve"> додатково регламентують вміст ефірної олії для подрібненої сировини (не менше 15 мл/кг) [1, 2, 7, 8, 10]</w:t>
      </w:r>
      <w:r>
        <w:rPr>
          <w:color w:val="000000"/>
          <w:sz w:val="28"/>
          <w:szCs w:val="28"/>
          <w:lang w:val="uk-UA"/>
        </w:rPr>
        <w:t>;</w:t>
      </w:r>
    </w:p>
    <w:p w:rsidR="003A3B25" w:rsidRDefault="00F64920">
      <w:pPr>
        <w:numPr>
          <w:ilvl w:val="0"/>
          <w:numId w:val="2"/>
        </w:numPr>
        <w:tabs>
          <w:tab w:val="left" w:pos="0"/>
        </w:tabs>
        <w:spacing w:line="360" w:lineRule="auto"/>
        <w:ind w:left="0" w:firstLine="709"/>
        <w:jc w:val="both"/>
        <w:rPr>
          <w:sz w:val="28"/>
          <w:szCs w:val="28"/>
          <w:lang w:val="uk-UA"/>
        </w:rPr>
      </w:pPr>
      <w:r>
        <w:rPr>
          <w:sz w:val="28"/>
          <w:szCs w:val="28"/>
          <w:lang w:val="uk-UA"/>
        </w:rPr>
        <w:t>Ö</w:t>
      </w:r>
      <w:r>
        <w:rPr>
          <w:sz w:val="28"/>
          <w:szCs w:val="28"/>
          <w:lang w:val="en-US"/>
        </w:rPr>
        <w:t>AB</w:t>
      </w:r>
      <w:r>
        <w:rPr>
          <w:sz w:val="28"/>
          <w:szCs w:val="28"/>
          <w:lang w:val="uk-UA"/>
        </w:rPr>
        <w:t xml:space="preserve"> та </w:t>
      </w:r>
      <w:r>
        <w:rPr>
          <w:sz w:val="28"/>
          <w:szCs w:val="28"/>
          <w:lang w:val="en-US"/>
        </w:rPr>
        <w:t>DAC</w:t>
      </w:r>
      <w:r>
        <w:rPr>
          <w:sz w:val="28"/>
          <w:szCs w:val="28"/>
          <w:lang w:val="uk-UA"/>
        </w:rPr>
        <w:t xml:space="preserve"> регламентують в сировині граничний вміст азарону</w:t>
      </w:r>
      <w:r>
        <w:rPr>
          <w:sz w:val="28"/>
          <w:szCs w:val="28"/>
          <w:lang w:val="uk-UA"/>
        </w:rPr>
        <w:t xml:space="preserve"> (не більше 0,5%), що визначається в першому документі спектрофотометричним методом, а в другому – методом високоефективної рідинної хроматографіії</w:t>
      </w:r>
      <w:r>
        <w:rPr>
          <w:sz w:val="28"/>
          <w:szCs w:val="28"/>
        </w:rPr>
        <w:t xml:space="preserve"> </w:t>
      </w:r>
      <w:r>
        <w:rPr>
          <w:sz w:val="28"/>
          <w:szCs w:val="28"/>
          <w:lang w:val="uk-UA"/>
        </w:rPr>
        <w:t>[</w:t>
      </w:r>
      <w:r>
        <w:rPr>
          <w:sz w:val="28"/>
          <w:szCs w:val="28"/>
        </w:rPr>
        <w:t>1</w:t>
      </w:r>
      <w:r>
        <w:rPr>
          <w:sz w:val="28"/>
          <w:szCs w:val="28"/>
          <w:lang w:val="uk-UA"/>
        </w:rPr>
        <w:t xml:space="preserve">, </w:t>
      </w:r>
      <w:r>
        <w:rPr>
          <w:sz w:val="28"/>
          <w:szCs w:val="28"/>
        </w:rPr>
        <w:t>2</w:t>
      </w:r>
      <w:r>
        <w:rPr>
          <w:sz w:val="28"/>
          <w:szCs w:val="28"/>
          <w:lang w:val="uk-UA"/>
        </w:rPr>
        <w:t>, 7, 8, 10];</w:t>
      </w:r>
    </w:p>
    <w:p w:rsidR="003A3B25" w:rsidRDefault="00F64920">
      <w:pPr>
        <w:numPr>
          <w:ilvl w:val="0"/>
          <w:numId w:val="2"/>
        </w:numPr>
        <w:tabs>
          <w:tab w:val="left" w:pos="0"/>
        </w:tabs>
        <w:spacing w:line="360" w:lineRule="auto"/>
        <w:ind w:left="0" w:firstLine="709"/>
        <w:jc w:val="both"/>
        <w:rPr>
          <w:sz w:val="28"/>
          <w:szCs w:val="28"/>
          <w:lang w:val="uk-UA"/>
        </w:rPr>
      </w:pPr>
      <w:r>
        <w:rPr>
          <w:sz w:val="28"/>
          <w:szCs w:val="28"/>
          <w:lang w:val="uk-UA"/>
        </w:rPr>
        <w:t>у монографії ГФ регламентована тара в якій зберігаються кореневища лепехи звичайної, в той</w:t>
      </w:r>
      <w:r>
        <w:rPr>
          <w:sz w:val="28"/>
          <w:szCs w:val="28"/>
          <w:lang w:val="uk-UA"/>
        </w:rPr>
        <w:t xml:space="preserve"> час як у ГФ РБ</w:t>
      </w:r>
      <w:r>
        <w:rPr>
          <w:sz w:val="28"/>
          <w:szCs w:val="28"/>
        </w:rPr>
        <w:t>,</w:t>
      </w:r>
      <w:r>
        <w:rPr>
          <w:sz w:val="28"/>
          <w:szCs w:val="28"/>
          <w:lang w:val="uk-UA"/>
        </w:rPr>
        <w:t xml:space="preserve"> Ö</w:t>
      </w:r>
      <w:r>
        <w:rPr>
          <w:sz w:val="28"/>
          <w:szCs w:val="28"/>
          <w:lang w:val="en-US"/>
        </w:rPr>
        <w:t>AB</w:t>
      </w:r>
      <w:r>
        <w:rPr>
          <w:sz w:val="28"/>
          <w:szCs w:val="28"/>
        </w:rPr>
        <w:t>,</w:t>
      </w:r>
      <w:r>
        <w:rPr>
          <w:sz w:val="28"/>
          <w:szCs w:val="28"/>
          <w:lang w:val="uk-UA"/>
        </w:rPr>
        <w:t xml:space="preserve"> </w:t>
      </w:r>
      <w:r>
        <w:rPr>
          <w:sz w:val="28"/>
          <w:szCs w:val="28"/>
          <w:lang w:val="en-US"/>
        </w:rPr>
        <w:t>DAC</w:t>
      </w:r>
      <w:r>
        <w:rPr>
          <w:sz w:val="28"/>
          <w:szCs w:val="28"/>
        </w:rPr>
        <w:t xml:space="preserve"> </w:t>
      </w:r>
      <w:r>
        <w:rPr>
          <w:sz w:val="28"/>
          <w:szCs w:val="28"/>
          <w:lang w:val="uk-UA"/>
        </w:rPr>
        <w:t xml:space="preserve">та </w:t>
      </w:r>
      <w:r>
        <w:rPr>
          <w:sz w:val="28"/>
          <w:szCs w:val="28"/>
          <w:lang w:val="en-US"/>
        </w:rPr>
        <w:t>CPh</w:t>
      </w:r>
      <w:r>
        <w:rPr>
          <w:sz w:val="28"/>
          <w:szCs w:val="28"/>
          <w:lang w:val="uk-UA"/>
        </w:rPr>
        <w:t xml:space="preserve"> прописано лише температурний режим і загальні принципи зберігання сировини</w:t>
      </w:r>
      <w:r>
        <w:rPr>
          <w:sz w:val="28"/>
          <w:szCs w:val="28"/>
        </w:rPr>
        <w:t xml:space="preserve"> </w:t>
      </w:r>
      <w:r>
        <w:rPr>
          <w:sz w:val="28"/>
          <w:szCs w:val="28"/>
          <w:lang w:val="uk-UA"/>
        </w:rPr>
        <w:t>[</w:t>
      </w:r>
      <w:r>
        <w:rPr>
          <w:sz w:val="28"/>
          <w:szCs w:val="28"/>
        </w:rPr>
        <w:t>1</w:t>
      </w:r>
      <w:r>
        <w:rPr>
          <w:sz w:val="28"/>
          <w:szCs w:val="28"/>
          <w:lang w:val="uk-UA"/>
        </w:rPr>
        <w:t xml:space="preserve">, </w:t>
      </w:r>
      <w:r>
        <w:rPr>
          <w:sz w:val="28"/>
          <w:szCs w:val="28"/>
        </w:rPr>
        <w:t>2</w:t>
      </w:r>
      <w:r>
        <w:rPr>
          <w:sz w:val="28"/>
          <w:szCs w:val="28"/>
          <w:lang w:val="uk-UA"/>
        </w:rPr>
        <w:t>, 7, 8, 10].</w:t>
      </w:r>
    </w:p>
    <w:p w:rsidR="003A3B25" w:rsidRDefault="00F64920">
      <w:pPr>
        <w:tabs>
          <w:tab w:val="left" w:pos="0"/>
        </w:tabs>
        <w:spacing w:line="360" w:lineRule="auto"/>
        <w:ind w:firstLine="709"/>
        <w:jc w:val="both"/>
        <w:rPr>
          <w:sz w:val="28"/>
          <w:szCs w:val="28"/>
          <w:lang w:val="uk-UA"/>
        </w:rPr>
      </w:pPr>
      <w:r>
        <w:rPr>
          <w:sz w:val="28"/>
          <w:szCs w:val="28"/>
          <w:lang w:val="uk-UA"/>
        </w:rPr>
        <w:t>Експериментальним шляхом було підтверджено, що зразки лепехи звичайної, зібрані з різних областей України, накопичують в своєму ск</w:t>
      </w:r>
      <w:r>
        <w:rPr>
          <w:sz w:val="28"/>
          <w:szCs w:val="28"/>
          <w:lang w:val="uk-UA"/>
        </w:rPr>
        <w:t>ладі азарон у кількості, що не перевищує рекомендованого  Комітетом з питань лікарських рослинних засобів (The Committee on Herbal Medicinal Products)  Європейського агентства з лікарських засобів (The European Medicines Agency) вмісту для внутрішнього вик</w:t>
      </w:r>
      <w:r>
        <w:rPr>
          <w:sz w:val="28"/>
          <w:szCs w:val="28"/>
          <w:lang w:val="uk-UA"/>
        </w:rPr>
        <w:t>ористання [11].</w:t>
      </w:r>
    </w:p>
    <w:p w:rsidR="003A3B25" w:rsidRDefault="00F64920">
      <w:pPr>
        <w:spacing w:line="360" w:lineRule="auto"/>
        <w:ind w:firstLine="709"/>
        <w:jc w:val="center"/>
        <w:rPr>
          <w:sz w:val="28"/>
          <w:szCs w:val="28"/>
          <w:lang w:val="uk-UA"/>
        </w:rPr>
      </w:pPr>
      <w:r>
        <w:rPr>
          <w:b/>
          <w:sz w:val="28"/>
          <w:szCs w:val="28"/>
          <w:lang w:val="uk-UA"/>
        </w:rPr>
        <w:t>ВИСНОВКИ</w:t>
      </w:r>
    </w:p>
    <w:p w:rsidR="003A3B25" w:rsidRDefault="00F64920">
      <w:pPr>
        <w:spacing w:line="360" w:lineRule="auto"/>
        <w:ind w:firstLine="709"/>
        <w:jc w:val="both"/>
        <w:rPr>
          <w:sz w:val="28"/>
          <w:szCs w:val="28"/>
          <w:lang w:val="uk-UA"/>
        </w:rPr>
      </w:pPr>
      <w:r>
        <w:rPr>
          <w:sz w:val="28"/>
          <w:szCs w:val="28"/>
          <w:lang w:val="uk-UA"/>
        </w:rPr>
        <w:t xml:space="preserve">Проведений порівняльний аналіз статті ГФ </w:t>
      </w:r>
      <w:r>
        <w:rPr>
          <w:sz w:val="28"/>
          <w:szCs w:val="28"/>
          <w:lang w:val="en-US"/>
        </w:rPr>
        <w:t>XI</w:t>
      </w:r>
      <w:r>
        <w:rPr>
          <w:sz w:val="28"/>
          <w:szCs w:val="28"/>
          <w:lang w:val="uk-UA"/>
        </w:rPr>
        <w:t xml:space="preserve"> видання і монографій ГФ РБ,</w:t>
      </w:r>
      <w:r>
        <w:rPr>
          <w:iCs/>
          <w:sz w:val="28"/>
          <w:szCs w:val="28"/>
          <w:lang w:val="uk-UA"/>
        </w:rPr>
        <w:t xml:space="preserve"> </w:t>
      </w:r>
      <w:r>
        <w:rPr>
          <w:iCs/>
          <w:sz w:val="28"/>
          <w:szCs w:val="28"/>
          <w:lang w:val="en-US"/>
        </w:rPr>
        <w:t>DA</w:t>
      </w:r>
      <w:r>
        <w:rPr>
          <w:iCs/>
          <w:sz w:val="28"/>
          <w:szCs w:val="28"/>
          <w:lang w:val="uk-UA"/>
        </w:rPr>
        <w:t xml:space="preserve">С, </w:t>
      </w:r>
      <w:r>
        <w:rPr>
          <w:sz w:val="28"/>
          <w:szCs w:val="28"/>
          <w:lang w:val="uk-UA"/>
        </w:rPr>
        <w:t>Ö</w:t>
      </w:r>
      <w:r>
        <w:rPr>
          <w:sz w:val="28"/>
          <w:szCs w:val="28"/>
          <w:lang w:val="en-US"/>
        </w:rPr>
        <w:t>AB</w:t>
      </w:r>
      <w:r>
        <w:rPr>
          <w:sz w:val="28"/>
          <w:szCs w:val="28"/>
          <w:lang w:val="uk-UA"/>
        </w:rPr>
        <w:t xml:space="preserve">, </w:t>
      </w:r>
      <w:r>
        <w:rPr>
          <w:sz w:val="28"/>
          <w:szCs w:val="28"/>
          <w:lang w:val="en-US"/>
        </w:rPr>
        <w:t>CPh</w:t>
      </w:r>
      <w:r>
        <w:rPr>
          <w:sz w:val="28"/>
          <w:szCs w:val="28"/>
          <w:lang w:val="uk-UA"/>
        </w:rPr>
        <w:t xml:space="preserve"> показав необхідність розробки національної статті «Лепехи кореневище» для включення до Державної фармакопеї України. Для розробки відповідної мон</w:t>
      </w:r>
      <w:r>
        <w:rPr>
          <w:sz w:val="28"/>
          <w:szCs w:val="28"/>
          <w:lang w:val="uk-UA"/>
        </w:rPr>
        <w:t>ографії, що буде відповідати сучасними вимогам контролю якості сировини, необхідно провести аналіз вітчизняних серій ЛРС за всіма показниками, що регламентуються провідними Фармакопеями, а також розробити методику ТШХ ідентифікації азарону, провести визнач</w:t>
      </w:r>
      <w:r>
        <w:rPr>
          <w:sz w:val="28"/>
          <w:szCs w:val="28"/>
          <w:lang w:val="uk-UA"/>
        </w:rPr>
        <w:t>ення кількісного вмісту азарону в сировині.</w:t>
      </w:r>
    </w:p>
    <w:p w:rsidR="003A3B25" w:rsidRDefault="00F64920">
      <w:pPr>
        <w:spacing w:line="360" w:lineRule="auto"/>
        <w:ind w:firstLine="709"/>
        <w:jc w:val="center"/>
        <w:rPr>
          <w:b/>
          <w:sz w:val="28"/>
          <w:szCs w:val="28"/>
          <w:lang w:val="uk-UA"/>
        </w:rPr>
      </w:pPr>
      <w:r>
        <w:rPr>
          <w:b/>
          <w:sz w:val="28"/>
          <w:szCs w:val="28"/>
          <w:lang w:val="uk-UA"/>
        </w:rPr>
        <w:t>ПЕРЕЛІК ВИКОРИСТАНИХ ДЖЕРЕЛ ІНФОРМАЦІЇ</w:t>
      </w:r>
    </w:p>
    <w:p w:rsidR="003A3B25" w:rsidRDefault="00F64920">
      <w:pPr>
        <w:numPr>
          <w:ilvl w:val="0"/>
          <w:numId w:val="3"/>
        </w:numPr>
        <w:tabs>
          <w:tab w:val="left" w:pos="1560"/>
        </w:tabs>
        <w:spacing w:line="360" w:lineRule="auto"/>
        <w:ind w:left="0" w:firstLine="709"/>
        <w:jc w:val="both"/>
        <w:rPr>
          <w:sz w:val="28"/>
          <w:szCs w:val="28"/>
          <w:lang w:val="uk-UA"/>
        </w:rPr>
      </w:pPr>
      <w:r>
        <w:rPr>
          <w:sz w:val="28"/>
          <w:szCs w:val="28"/>
          <w:lang w:val="uk-UA"/>
        </w:rPr>
        <w:t xml:space="preserve">Государственная фармакопея Республики Беларусь: том 2. Контроль качества вспомогательных веществ и лекарственного растительного </w:t>
      </w:r>
      <w:r>
        <w:rPr>
          <w:sz w:val="28"/>
          <w:szCs w:val="28"/>
          <w:lang w:val="uk-UA"/>
        </w:rPr>
        <w:lastRenderedPageBreak/>
        <w:t>cырья / МЗ РБ – М. : Победа, 2007. – С. 301–3</w:t>
      </w:r>
      <w:r>
        <w:rPr>
          <w:sz w:val="28"/>
          <w:szCs w:val="28"/>
          <w:lang w:val="uk-UA"/>
        </w:rPr>
        <w:t>02.</w:t>
      </w:r>
    </w:p>
    <w:p w:rsidR="003A3B25" w:rsidRDefault="00F64920">
      <w:pPr>
        <w:numPr>
          <w:ilvl w:val="0"/>
          <w:numId w:val="3"/>
        </w:numPr>
        <w:tabs>
          <w:tab w:val="left" w:pos="1560"/>
        </w:tabs>
        <w:spacing w:line="360" w:lineRule="auto"/>
        <w:ind w:left="0" w:firstLine="709"/>
        <w:jc w:val="both"/>
        <w:rPr>
          <w:sz w:val="28"/>
          <w:szCs w:val="28"/>
          <w:lang w:val="uk-UA"/>
        </w:rPr>
      </w:pPr>
      <w:r>
        <w:rPr>
          <w:sz w:val="28"/>
          <w:szCs w:val="28"/>
          <w:lang w:val="uk-UA"/>
        </w:rPr>
        <w:t xml:space="preserve">Государственная фармакопея СССР: Вып. 2. Общин методы анализа. Лекарственное растительное сырье / МЗ СССР. – 11-ое изд. – М.: Медицина, 1990. – С. 359-361. </w:t>
      </w:r>
    </w:p>
    <w:p w:rsidR="003A3B25" w:rsidRDefault="00F64920">
      <w:pPr>
        <w:numPr>
          <w:ilvl w:val="0"/>
          <w:numId w:val="3"/>
        </w:numPr>
        <w:tabs>
          <w:tab w:val="left" w:pos="1560"/>
        </w:tabs>
        <w:spacing w:line="360" w:lineRule="auto"/>
        <w:ind w:left="0" w:firstLine="709"/>
        <w:jc w:val="both"/>
        <w:rPr>
          <w:sz w:val="28"/>
          <w:szCs w:val="28"/>
          <w:lang w:val="uk-UA"/>
        </w:rPr>
      </w:pPr>
      <w:r>
        <w:rPr>
          <w:sz w:val="28"/>
          <w:szCs w:val="28"/>
          <w:lang w:val="uk-UA"/>
        </w:rPr>
        <w:t>Зузук Б. М. Аир тростниковый (аналитический обзор) / Б. М. Зузук, Р. В. Куцик. // Провизор. – 2</w:t>
      </w:r>
      <w:r>
        <w:rPr>
          <w:sz w:val="28"/>
          <w:szCs w:val="28"/>
          <w:lang w:val="uk-UA"/>
        </w:rPr>
        <w:t>002. – №8. – С. 34–39.</w:t>
      </w:r>
    </w:p>
    <w:p w:rsidR="003A3B25" w:rsidRDefault="00F64920">
      <w:pPr>
        <w:numPr>
          <w:ilvl w:val="0"/>
          <w:numId w:val="3"/>
        </w:numPr>
        <w:tabs>
          <w:tab w:val="left" w:pos="1560"/>
        </w:tabs>
        <w:spacing w:line="360" w:lineRule="auto"/>
        <w:ind w:left="0" w:firstLine="709"/>
        <w:jc w:val="both"/>
        <w:rPr>
          <w:sz w:val="28"/>
          <w:szCs w:val="28"/>
          <w:lang w:val="uk-UA"/>
        </w:rPr>
      </w:pPr>
      <w:r>
        <w:rPr>
          <w:sz w:val="28"/>
          <w:szCs w:val="28"/>
        </w:rPr>
        <w:t>Котов А. Г. Правила викладання та порядок розробки монографій на лікарську рослинну сировину / А. Г. Котов. // Управління, економіка та забезпечення якості в фармації. Частина 1.. – 2011. – №6. – С. 16–22.</w:t>
      </w:r>
    </w:p>
    <w:p w:rsidR="003A3B25" w:rsidRDefault="00F64920">
      <w:pPr>
        <w:numPr>
          <w:ilvl w:val="0"/>
          <w:numId w:val="3"/>
        </w:numPr>
        <w:tabs>
          <w:tab w:val="left" w:pos="1560"/>
        </w:tabs>
        <w:spacing w:line="360" w:lineRule="auto"/>
        <w:ind w:left="0" w:firstLine="709"/>
        <w:jc w:val="both"/>
        <w:rPr>
          <w:sz w:val="28"/>
          <w:szCs w:val="28"/>
          <w:lang w:val="uk-UA"/>
        </w:rPr>
      </w:pPr>
      <w:r>
        <w:rPr>
          <w:color w:val="000000"/>
          <w:sz w:val="28"/>
          <w:szCs w:val="28"/>
          <w:shd w:val="clear" w:color="auto" w:fill="FFFFFF"/>
        </w:rPr>
        <w:t xml:space="preserve">Мінарченко В. М. Лікарські </w:t>
      </w:r>
      <w:r>
        <w:rPr>
          <w:color w:val="000000"/>
          <w:sz w:val="28"/>
          <w:szCs w:val="28"/>
          <w:shd w:val="clear" w:color="auto" w:fill="FFFFFF"/>
        </w:rPr>
        <w:t>судинні рослини України (медичне та ресурсне значення) / В. М. Мінарченко. – Київ: Фітосоціоцентр, 2005. – 324 с.</w:t>
      </w:r>
    </w:p>
    <w:p w:rsidR="003A3B25" w:rsidRDefault="00F64920">
      <w:pPr>
        <w:numPr>
          <w:ilvl w:val="0"/>
          <w:numId w:val="3"/>
        </w:numPr>
        <w:tabs>
          <w:tab w:val="left" w:pos="1560"/>
        </w:tabs>
        <w:spacing w:line="360" w:lineRule="auto"/>
        <w:ind w:left="0" w:firstLine="709"/>
        <w:jc w:val="both"/>
        <w:rPr>
          <w:sz w:val="28"/>
          <w:szCs w:val="28"/>
          <w:lang w:val="uk-UA"/>
        </w:rPr>
      </w:pPr>
      <w:r>
        <w:rPr>
          <w:sz w:val="28"/>
          <w:szCs w:val="28"/>
          <w:lang w:val="uk-UA"/>
        </w:rPr>
        <w:t>Проблемы введения монографий на лекарственное растительное сырье в Государственную Фармакопею Украины / А.И. Гризодуб, Г.В. Георгиевский, Т.М.</w:t>
      </w:r>
      <w:r>
        <w:rPr>
          <w:sz w:val="28"/>
          <w:szCs w:val="28"/>
          <w:lang w:val="uk-UA"/>
        </w:rPr>
        <w:t xml:space="preserve"> Тихоненко, В.П. Георгиевский // Фармаком. – 2004. - № 4. – С. 3-17. </w:t>
      </w:r>
    </w:p>
    <w:p w:rsidR="003A3B25" w:rsidRDefault="00F64920">
      <w:pPr>
        <w:numPr>
          <w:ilvl w:val="0"/>
          <w:numId w:val="3"/>
        </w:numPr>
        <w:tabs>
          <w:tab w:val="left" w:pos="1560"/>
        </w:tabs>
        <w:spacing w:line="360" w:lineRule="auto"/>
        <w:ind w:left="0" w:firstLine="709"/>
        <w:jc w:val="both"/>
        <w:rPr>
          <w:sz w:val="28"/>
          <w:szCs w:val="28"/>
          <w:lang w:val="uk-UA"/>
        </w:rPr>
      </w:pPr>
      <w:r>
        <w:rPr>
          <w:sz w:val="28"/>
          <w:szCs w:val="28"/>
          <w:lang w:val="uk-UA"/>
        </w:rPr>
        <w:t>DAC (Deutscher Arzneimittel-Codex): DAC-Anlage E, S. 4. – Stuttgart. – Deutscher Apotheker-Verlag. – 2011.</w:t>
      </w:r>
    </w:p>
    <w:p w:rsidR="003A3B25" w:rsidRDefault="00F64920">
      <w:pPr>
        <w:numPr>
          <w:ilvl w:val="0"/>
          <w:numId w:val="3"/>
        </w:numPr>
        <w:tabs>
          <w:tab w:val="left" w:pos="1560"/>
        </w:tabs>
        <w:spacing w:line="360" w:lineRule="auto"/>
        <w:ind w:left="0" w:firstLine="709"/>
        <w:jc w:val="both"/>
        <w:rPr>
          <w:sz w:val="28"/>
          <w:szCs w:val="28"/>
          <w:lang w:val="uk-UA"/>
        </w:rPr>
      </w:pPr>
      <w:r>
        <w:rPr>
          <w:sz w:val="28"/>
          <w:szCs w:val="28"/>
          <w:lang w:val="uk-UA"/>
        </w:rPr>
        <w:t>Österreichisches Arzneibuch, Amtliche Ausgabe. – Wien: Verlag Österreich GmbH</w:t>
      </w:r>
      <w:r>
        <w:rPr>
          <w:sz w:val="28"/>
          <w:szCs w:val="28"/>
          <w:lang w:val="de-DE"/>
        </w:rPr>
        <w:t>,</w:t>
      </w:r>
      <w:r>
        <w:rPr>
          <w:sz w:val="28"/>
          <w:szCs w:val="28"/>
          <w:lang w:val="uk-UA"/>
        </w:rPr>
        <w:t xml:space="preserve"> 2006. – P. 385-386.</w:t>
      </w:r>
    </w:p>
    <w:p w:rsidR="003A3B25" w:rsidRDefault="00F64920">
      <w:pPr>
        <w:numPr>
          <w:ilvl w:val="0"/>
          <w:numId w:val="3"/>
        </w:numPr>
        <w:tabs>
          <w:tab w:val="left" w:pos="1560"/>
        </w:tabs>
        <w:spacing w:line="360" w:lineRule="auto"/>
        <w:ind w:left="0" w:firstLine="709"/>
        <w:jc w:val="both"/>
        <w:rPr>
          <w:color w:val="000000"/>
          <w:sz w:val="28"/>
          <w:szCs w:val="28"/>
          <w:shd w:val="clear" w:color="auto" w:fill="FFFFFF"/>
          <w:lang w:val="en-US"/>
        </w:rPr>
      </w:pPr>
      <w:r>
        <w:rPr>
          <w:color w:val="000000"/>
          <w:sz w:val="28"/>
          <w:szCs w:val="28"/>
          <w:shd w:val="clear" w:color="auto" w:fill="FFFFFF"/>
          <w:lang w:val="en-US"/>
        </w:rPr>
        <w:t>Pharmacological profile of Acorus calamus: An Overview / [S. R. Yende, U. N. Harle, D. T. Rajgure and etc.]. // Pharmacological Reviews. – 2008. – №2. – С. 22–26.</w:t>
      </w:r>
    </w:p>
    <w:p w:rsidR="003A3B25" w:rsidRDefault="00F64920">
      <w:pPr>
        <w:numPr>
          <w:ilvl w:val="0"/>
          <w:numId w:val="3"/>
        </w:numPr>
        <w:tabs>
          <w:tab w:val="left" w:pos="1560"/>
        </w:tabs>
        <w:spacing w:line="360" w:lineRule="auto"/>
        <w:ind w:left="0" w:firstLine="709"/>
        <w:jc w:val="both"/>
        <w:rPr>
          <w:color w:val="000000"/>
          <w:sz w:val="28"/>
          <w:szCs w:val="28"/>
          <w:shd w:val="clear" w:color="auto" w:fill="FFFFFF"/>
          <w:lang w:val="en-US"/>
        </w:rPr>
      </w:pPr>
      <w:r>
        <w:rPr>
          <w:color w:val="000000"/>
          <w:sz w:val="28"/>
          <w:szCs w:val="28"/>
          <w:shd w:val="clear" w:color="auto" w:fill="FFFFFF"/>
          <w:lang w:val="en-US"/>
        </w:rPr>
        <w:t>Pharmacopoeia of  the  Peoples’s  Republic of China: English ed., Vol. 1</w:t>
      </w:r>
      <w:r>
        <w:rPr>
          <w:color w:val="000000"/>
          <w:sz w:val="28"/>
          <w:szCs w:val="28"/>
          <w:shd w:val="clear" w:color="auto" w:fill="FFFFFF"/>
          <w:lang w:val="en-US"/>
        </w:rPr>
        <w:t>. /. – Bejing: Peoples Medical Publishing House. – 2005.</w:t>
      </w:r>
    </w:p>
    <w:p w:rsidR="003A3B25" w:rsidRDefault="00F64920">
      <w:pPr>
        <w:numPr>
          <w:ilvl w:val="0"/>
          <w:numId w:val="3"/>
        </w:numPr>
        <w:tabs>
          <w:tab w:val="left" w:pos="1560"/>
        </w:tabs>
        <w:spacing w:line="360" w:lineRule="auto"/>
        <w:ind w:left="0" w:firstLine="709"/>
        <w:jc w:val="both"/>
        <w:rPr>
          <w:color w:val="000000"/>
          <w:sz w:val="28"/>
          <w:szCs w:val="28"/>
          <w:shd w:val="clear" w:color="auto" w:fill="FFFFFF"/>
          <w:lang w:val="en-US"/>
        </w:rPr>
      </w:pPr>
      <w:r>
        <w:rPr>
          <w:color w:val="000000"/>
          <w:sz w:val="28"/>
          <w:szCs w:val="28"/>
          <w:shd w:val="clear" w:color="auto" w:fill="FFFFFF"/>
          <w:lang w:val="en-US"/>
        </w:rPr>
        <w:t xml:space="preserve">Public Statement on the use of herbal medicinal products containing asarone / The Committee on Herbal Medicinal Products / London, 23 November2005. – </w:t>
      </w:r>
      <w:r>
        <w:rPr>
          <w:color w:val="000000"/>
          <w:sz w:val="28"/>
          <w:szCs w:val="28"/>
          <w:shd w:val="clear" w:color="auto" w:fill="FFFFFF"/>
        </w:rPr>
        <w:t>Режим</w:t>
      </w:r>
      <w:r>
        <w:rPr>
          <w:color w:val="000000"/>
          <w:sz w:val="28"/>
          <w:szCs w:val="28"/>
          <w:shd w:val="clear" w:color="auto" w:fill="FFFFFF"/>
          <w:lang w:val="en-US"/>
        </w:rPr>
        <w:t xml:space="preserve"> </w:t>
      </w:r>
      <w:proofErr w:type="gramStart"/>
      <w:r>
        <w:rPr>
          <w:color w:val="000000"/>
          <w:sz w:val="28"/>
          <w:szCs w:val="28"/>
          <w:shd w:val="clear" w:color="auto" w:fill="FFFFFF"/>
        </w:rPr>
        <w:t>доступу</w:t>
      </w:r>
      <w:r>
        <w:rPr>
          <w:color w:val="000000"/>
          <w:sz w:val="28"/>
          <w:szCs w:val="28"/>
          <w:shd w:val="clear" w:color="auto" w:fill="FFFFFF"/>
          <w:lang w:val="en-US"/>
        </w:rPr>
        <w:t xml:space="preserve"> :</w:t>
      </w:r>
      <w:proofErr w:type="gramEnd"/>
      <w:r>
        <w:rPr>
          <w:color w:val="000000"/>
          <w:sz w:val="28"/>
          <w:szCs w:val="28"/>
          <w:shd w:val="clear" w:color="auto" w:fill="FFFFFF"/>
          <w:lang w:val="en-US"/>
        </w:rPr>
        <w:t xml:space="preserve"> </w:t>
      </w:r>
      <w:hyperlink r:id="rId7" w:history="1">
        <w:r>
          <w:rPr>
            <w:color w:val="000000"/>
            <w:sz w:val="28"/>
            <w:szCs w:val="28"/>
            <w:shd w:val="clear" w:color="auto" w:fill="FFFFFF"/>
            <w:lang w:val="en-US"/>
          </w:rPr>
          <w:t>http://www.ema.europa.eu/docs/en_GB/document_library/Scientific_guideline/2010/04/WC500089956.pdf</w:t>
        </w:r>
      </w:hyperlink>
      <w:r>
        <w:rPr>
          <w:color w:val="000000"/>
          <w:sz w:val="28"/>
          <w:szCs w:val="28"/>
          <w:shd w:val="clear" w:color="auto" w:fill="FFFFFF"/>
          <w:lang w:val="en-US"/>
        </w:rPr>
        <w:t>.</w:t>
      </w:r>
    </w:p>
    <w:p w:rsidR="003A3B25" w:rsidRDefault="00F64920">
      <w:pPr>
        <w:numPr>
          <w:ilvl w:val="0"/>
          <w:numId w:val="3"/>
        </w:numPr>
        <w:tabs>
          <w:tab w:val="left" w:pos="1560"/>
        </w:tabs>
        <w:spacing w:line="360" w:lineRule="auto"/>
        <w:ind w:left="0" w:firstLine="709"/>
        <w:jc w:val="both"/>
        <w:rPr>
          <w:sz w:val="28"/>
          <w:szCs w:val="28"/>
          <w:lang w:val="uk-UA"/>
        </w:rPr>
      </w:pPr>
      <w:r>
        <w:rPr>
          <w:color w:val="000000"/>
          <w:sz w:val="28"/>
          <w:szCs w:val="28"/>
          <w:shd w:val="clear" w:color="auto" w:fill="FFFFFF"/>
          <w:lang w:val="en-US"/>
        </w:rPr>
        <w:t xml:space="preserve">Raja </w:t>
      </w:r>
      <w:r>
        <w:rPr>
          <w:color w:val="000000"/>
          <w:sz w:val="28"/>
          <w:szCs w:val="28"/>
          <w:shd w:val="clear" w:color="auto" w:fill="FFFFFF"/>
        </w:rPr>
        <w:t>А</w:t>
      </w:r>
      <w:r>
        <w:rPr>
          <w:color w:val="000000"/>
          <w:sz w:val="28"/>
          <w:szCs w:val="28"/>
          <w:shd w:val="clear" w:color="auto" w:fill="FFFFFF"/>
          <w:lang w:val="en-US"/>
        </w:rPr>
        <w:t xml:space="preserve">. </w:t>
      </w:r>
      <w:r>
        <w:rPr>
          <w:color w:val="000000"/>
          <w:sz w:val="28"/>
          <w:szCs w:val="28"/>
          <w:shd w:val="clear" w:color="auto" w:fill="FFFFFF"/>
        </w:rPr>
        <w:t>Е</w:t>
      </w:r>
      <w:r>
        <w:rPr>
          <w:color w:val="000000"/>
          <w:sz w:val="28"/>
          <w:szCs w:val="28"/>
          <w:shd w:val="clear" w:color="auto" w:fill="FFFFFF"/>
          <w:lang w:val="en-US"/>
        </w:rPr>
        <w:t xml:space="preserve">. Acorus calamus linn.: chemistry and biology / </w:t>
      </w:r>
      <w:r>
        <w:rPr>
          <w:color w:val="000000"/>
          <w:sz w:val="28"/>
          <w:szCs w:val="28"/>
          <w:shd w:val="clear" w:color="auto" w:fill="FFFFFF"/>
        </w:rPr>
        <w:t>А</w:t>
      </w:r>
      <w:r>
        <w:rPr>
          <w:color w:val="000000"/>
          <w:sz w:val="28"/>
          <w:szCs w:val="28"/>
          <w:shd w:val="clear" w:color="auto" w:fill="FFFFFF"/>
          <w:lang w:val="en-US"/>
        </w:rPr>
        <w:t xml:space="preserve">. </w:t>
      </w:r>
      <w:r>
        <w:rPr>
          <w:color w:val="000000"/>
          <w:sz w:val="28"/>
          <w:szCs w:val="28"/>
          <w:shd w:val="clear" w:color="auto" w:fill="FFFFFF"/>
        </w:rPr>
        <w:t>Е</w:t>
      </w:r>
      <w:r>
        <w:rPr>
          <w:color w:val="000000"/>
          <w:sz w:val="28"/>
          <w:szCs w:val="28"/>
          <w:shd w:val="clear" w:color="auto" w:fill="FFFFFF"/>
          <w:lang w:val="en-US"/>
        </w:rPr>
        <w:t xml:space="preserve">. Raja, </w:t>
      </w:r>
      <w:r>
        <w:rPr>
          <w:color w:val="000000"/>
          <w:sz w:val="28"/>
          <w:szCs w:val="28"/>
          <w:shd w:val="clear" w:color="auto" w:fill="FFFFFF"/>
        </w:rPr>
        <w:lastRenderedPageBreak/>
        <w:t>М</w:t>
      </w:r>
      <w:r>
        <w:rPr>
          <w:color w:val="000000"/>
          <w:sz w:val="28"/>
          <w:szCs w:val="28"/>
          <w:shd w:val="clear" w:color="auto" w:fill="FFFFFF"/>
          <w:lang w:val="en-US"/>
        </w:rPr>
        <w:t>. Vija</w:t>
      </w:r>
      <w:r>
        <w:rPr>
          <w:color w:val="000000"/>
          <w:sz w:val="28"/>
          <w:szCs w:val="28"/>
          <w:shd w:val="clear" w:color="auto" w:fill="FFFFFF"/>
          <w:lang w:val="en-US"/>
        </w:rPr>
        <w:t xml:space="preserve">yalakshmi, G. Devalarao. // Research J Pharm Tech. – 2009. – №2. – </w:t>
      </w:r>
      <w:r>
        <w:rPr>
          <w:color w:val="000000"/>
          <w:sz w:val="28"/>
          <w:szCs w:val="28"/>
          <w:shd w:val="clear" w:color="auto" w:fill="FFFFFF"/>
        </w:rPr>
        <w:t>С</w:t>
      </w:r>
      <w:r>
        <w:rPr>
          <w:color w:val="000000"/>
          <w:sz w:val="28"/>
          <w:szCs w:val="28"/>
          <w:shd w:val="clear" w:color="auto" w:fill="FFFFFF"/>
          <w:lang w:val="en-US"/>
        </w:rPr>
        <w:t>. 256–261.</w:t>
      </w:r>
      <w:r>
        <w:rPr>
          <w:sz w:val="28"/>
          <w:szCs w:val="28"/>
          <w:lang w:val="uk-UA"/>
        </w:rPr>
        <w:t xml:space="preserve"> </w:t>
      </w:r>
    </w:p>
    <w:p w:rsidR="003A3B25" w:rsidRDefault="00F64920">
      <w:pPr>
        <w:numPr>
          <w:ilvl w:val="0"/>
          <w:numId w:val="3"/>
        </w:numPr>
        <w:tabs>
          <w:tab w:val="left" w:pos="1560"/>
        </w:tabs>
        <w:spacing w:line="360" w:lineRule="auto"/>
        <w:ind w:left="0" w:firstLine="709"/>
        <w:jc w:val="both"/>
        <w:rPr>
          <w:sz w:val="28"/>
          <w:szCs w:val="28"/>
          <w:lang w:val="uk-UA"/>
        </w:rPr>
      </w:pPr>
      <w:r>
        <w:rPr>
          <w:color w:val="000000"/>
          <w:sz w:val="28"/>
          <w:szCs w:val="28"/>
          <w:shd w:val="clear" w:color="auto" w:fill="FFFFFF"/>
          <w:lang w:val="en-US"/>
        </w:rPr>
        <w:t xml:space="preserve">Unger P. Comparative study of the cytotoxicity and genotoxicity of Alpha- and Beta-asarone / P. Unger, M. F. Melzig. // Scientia Pharmaceutica. – 2012. – №80. – </w:t>
      </w:r>
      <w:r>
        <w:rPr>
          <w:color w:val="000000"/>
          <w:sz w:val="28"/>
          <w:szCs w:val="28"/>
          <w:shd w:val="clear" w:color="auto" w:fill="FFFFFF"/>
        </w:rPr>
        <w:t>С</w:t>
      </w:r>
      <w:r>
        <w:rPr>
          <w:color w:val="000000"/>
          <w:sz w:val="28"/>
          <w:szCs w:val="28"/>
          <w:shd w:val="clear" w:color="auto" w:fill="FFFFFF"/>
          <w:lang w:val="en-US"/>
        </w:rPr>
        <w:t>. 663–668.</w:t>
      </w:r>
    </w:p>
    <w:p w:rsidR="003A3B25" w:rsidRDefault="003A3B25">
      <w:pPr>
        <w:tabs>
          <w:tab w:val="left" w:pos="1560"/>
        </w:tabs>
        <w:spacing w:line="360" w:lineRule="auto"/>
        <w:ind w:left="709"/>
        <w:jc w:val="center"/>
        <w:rPr>
          <w:sz w:val="28"/>
          <w:szCs w:val="28"/>
          <w:lang w:val="uk-UA"/>
        </w:rPr>
      </w:pPr>
    </w:p>
    <w:p w:rsidR="003A3B25" w:rsidRDefault="00F64920">
      <w:pPr>
        <w:tabs>
          <w:tab w:val="left" w:pos="1560"/>
        </w:tabs>
        <w:spacing w:line="360" w:lineRule="auto"/>
        <w:ind w:left="709"/>
        <w:jc w:val="center"/>
        <w:rPr>
          <w:b/>
          <w:sz w:val="28"/>
          <w:szCs w:val="28"/>
          <w:lang w:val="uk-UA"/>
        </w:rPr>
      </w:pPr>
      <w:r>
        <w:rPr>
          <w:b/>
          <w:sz w:val="28"/>
          <w:szCs w:val="28"/>
          <w:lang w:val="uk-UA"/>
        </w:rPr>
        <w:t>RE</w:t>
      </w:r>
      <w:r>
        <w:rPr>
          <w:b/>
          <w:sz w:val="28"/>
          <w:szCs w:val="28"/>
          <w:lang w:val="uk-UA"/>
        </w:rPr>
        <w:t>FERENCES</w:t>
      </w:r>
    </w:p>
    <w:p w:rsidR="003A3B25" w:rsidRDefault="00F64920">
      <w:pPr>
        <w:numPr>
          <w:ilvl w:val="0"/>
          <w:numId w:val="10"/>
        </w:numPr>
        <w:tabs>
          <w:tab w:val="left" w:pos="1560"/>
        </w:tabs>
        <w:spacing w:line="360" w:lineRule="auto"/>
        <w:ind w:left="0" w:firstLine="709"/>
        <w:jc w:val="both"/>
        <w:rPr>
          <w:sz w:val="28"/>
          <w:szCs w:val="28"/>
          <w:lang w:val="uk-UA"/>
        </w:rPr>
      </w:pPr>
      <w:r>
        <w:rPr>
          <w:sz w:val="28"/>
          <w:szCs w:val="28"/>
          <w:lang w:val="uk-UA"/>
        </w:rPr>
        <w:t>Gosudarstvennaya farmakopeya Respubliki Belarus': tom 2. Kontrol' kachestva vspomogatel'nykh veshchestv i lekarstvennogo rastitel'nogo cyr'ya / MZ RB – M. : Pobeda, 2007. – S. 301–302.</w:t>
      </w:r>
    </w:p>
    <w:p w:rsidR="003A3B25" w:rsidRDefault="00F64920">
      <w:pPr>
        <w:numPr>
          <w:ilvl w:val="0"/>
          <w:numId w:val="10"/>
        </w:numPr>
        <w:tabs>
          <w:tab w:val="left" w:pos="1560"/>
        </w:tabs>
        <w:spacing w:line="360" w:lineRule="auto"/>
        <w:ind w:left="0" w:firstLine="709"/>
        <w:jc w:val="both"/>
        <w:rPr>
          <w:sz w:val="28"/>
          <w:szCs w:val="28"/>
          <w:lang w:val="uk-UA"/>
        </w:rPr>
      </w:pPr>
      <w:r>
        <w:rPr>
          <w:sz w:val="28"/>
          <w:szCs w:val="28"/>
          <w:lang w:val="uk-UA"/>
        </w:rPr>
        <w:t>Gosudarstvennaya farmakopeya SSSR: Vyp. 2. Obshchin metody ana</w:t>
      </w:r>
      <w:r>
        <w:rPr>
          <w:sz w:val="28"/>
          <w:szCs w:val="28"/>
          <w:lang w:val="uk-UA"/>
        </w:rPr>
        <w:t>liza. Lekarstvennoye rastitel'noye syr'ye / MZ SSSR. – 11-oye izd. – M.: Meditsina, 1990. – S. 359-361.</w:t>
      </w:r>
    </w:p>
    <w:p w:rsidR="003A3B25" w:rsidRDefault="00F64920">
      <w:pPr>
        <w:numPr>
          <w:ilvl w:val="0"/>
          <w:numId w:val="10"/>
        </w:numPr>
        <w:tabs>
          <w:tab w:val="left" w:pos="1560"/>
        </w:tabs>
        <w:spacing w:line="360" w:lineRule="auto"/>
        <w:ind w:left="0" w:firstLine="709"/>
        <w:jc w:val="both"/>
        <w:rPr>
          <w:sz w:val="28"/>
          <w:szCs w:val="28"/>
          <w:lang w:val="uk-UA"/>
        </w:rPr>
      </w:pPr>
      <w:r>
        <w:rPr>
          <w:sz w:val="28"/>
          <w:szCs w:val="28"/>
          <w:lang w:val="uk-UA"/>
        </w:rPr>
        <w:t>Zuzuk B. M. Air trostnikovyy (analiticheskiy obzor) / B. M. Zuzuk, R. V. Kutsik. // Provizor. – 2002. – №8. – S. 34–39.</w:t>
      </w:r>
    </w:p>
    <w:p w:rsidR="003A3B25" w:rsidRDefault="00F64920">
      <w:pPr>
        <w:numPr>
          <w:ilvl w:val="0"/>
          <w:numId w:val="10"/>
        </w:numPr>
        <w:tabs>
          <w:tab w:val="left" w:pos="1560"/>
        </w:tabs>
        <w:spacing w:line="360" w:lineRule="auto"/>
        <w:ind w:left="0" w:firstLine="709"/>
        <w:jc w:val="both"/>
        <w:rPr>
          <w:sz w:val="28"/>
          <w:szCs w:val="28"/>
          <w:lang w:val="uk-UA"/>
        </w:rPr>
      </w:pPr>
      <w:r>
        <w:rPr>
          <w:sz w:val="28"/>
          <w:szCs w:val="28"/>
          <w:lang w:val="uk-UA"/>
        </w:rPr>
        <w:t xml:space="preserve">Kotov A. H. Pravyla vykladannya </w:t>
      </w:r>
      <w:r>
        <w:rPr>
          <w:sz w:val="28"/>
          <w:szCs w:val="28"/>
          <w:lang w:val="uk-UA"/>
        </w:rPr>
        <w:t>ta poryadok rozrobky monohrafiy na likarsʹku roslynnu syrovynu / A. H. Kotov. // Upravlinnya, ekonomika ta zabezpechennya yakosti v farmatsiyi. Chastyna 1.. – 2011. – №6. – S. 16–22.</w:t>
      </w:r>
    </w:p>
    <w:p w:rsidR="003A3B25" w:rsidRDefault="00F64920">
      <w:pPr>
        <w:numPr>
          <w:ilvl w:val="0"/>
          <w:numId w:val="10"/>
        </w:numPr>
        <w:tabs>
          <w:tab w:val="left" w:pos="1560"/>
        </w:tabs>
        <w:spacing w:line="360" w:lineRule="auto"/>
        <w:ind w:left="0" w:firstLine="709"/>
        <w:jc w:val="both"/>
        <w:rPr>
          <w:sz w:val="28"/>
          <w:szCs w:val="28"/>
          <w:lang w:val="uk-UA"/>
        </w:rPr>
      </w:pPr>
      <w:r>
        <w:rPr>
          <w:sz w:val="28"/>
          <w:szCs w:val="28"/>
          <w:lang w:val="uk-UA"/>
        </w:rPr>
        <w:t>Minarchenko V. M. Likarsʹki sudynni roslyny Ukrayiny (medychne ta resursn</w:t>
      </w:r>
      <w:r>
        <w:rPr>
          <w:sz w:val="28"/>
          <w:szCs w:val="28"/>
          <w:lang w:val="uk-UA"/>
        </w:rPr>
        <w:t>e znachennya) / V. M. Minarchenko. – Kyyiv: Fitosotsiotsentr, 2005. – 324 s.</w:t>
      </w:r>
    </w:p>
    <w:p w:rsidR="003A3B25" w:rsidRDefault="00F64920">
      <w:pPr>
        <w:numPr>
          <w:ilvl w:val="0"/>
          <w:numId w:val="10"/>
        </w:numPr>
        <w:tabs>
          <w:tab w:val="left" w:pos="1560"/>
        </w:tabs>
        <w:spacing w:line="360" w:lineRule="auto"/>
        <w:ind w:left="0" w:firstLine="709"/>
        <w:jc w:val="both"/>
        <w:rPr>
          <w:sz w:val="28"/>
          <w:szCs w:val="28"/>
          <w:lang w:val="uk-UA"/>
        </w:rPr>
      </w:pPr>
      <w:r>
        <w:rPr>
          <w:sz w:val="28"/>
          <w:szCs w:val="28"/>
          <w:lang w:val="uk-UA"/>
        </w:rPr>
        <w:t>Problemy vvedeniya monografiy na lekarstvennoye rastitel'noye syr'ye v Gosudarstvennuyu Farmakopeyu Ukrainy / A.I. Grizodub, G.V. Georgiyevskiy, T.M. Tikhonenko, V.P. Georgiyevski</w:t>
      </w:r>
      <w:r>
        <w:rPr>
          <w:sz w:val="28"/>
          <w:szCs w:val="28"/>
          <w:lang w:val="uk-UA"/>
        </w:rPr>
        <w:t>y // Farmakom. – 2004. - № 4. – S. 3-17.</w:t>
      </w:r>
    </w:p>
    <w:p w:rsidR="003A3B25" w:rsidRDefault="00F64920">
      <w:pPr>
        <w:numPr>
          <w:ilvl w:val="0"/>
          <w:numId w:val="10"/>
        </w:numPr>
        <w:tabs>
          <w:tab w:val="left" w:pos="1560"/>
        </w:tabs>
        <w:spacing w:line="360" w:lineRule="auto"/>
        <w:ind w:left="0" w:firstLine="709"/>
        <w:jc w:val="both"/>
        <w:rPr>
          <w:sz w:val="28"/>
          <w:szCs w:val="28"/>
          <w:lang w:val="uk-UA"/>
        </w:rPr>
      </w:pPr>
      <w:r>
        <w:rPr>
          <w:sz w:val="28"/>
          <w:szCs w:val="28"/>
          <w:lang w:val="uk-UA"/>
        </w:rPr>
        <w:t>DAC (Deutscher Arzneimittel-Codex): DAC-Anlage E, S. 4. – Stuttgart. – Deutscher Apotheker-Verlag. – 2011.</w:t>
      </w:r>
    </w:p>
    <w:p w:rsidR="003A3B25" w:rsidRDefault="00F64920">
      <w:pPr>
        <w:numPr>
          <w:ilvl w:val="0"/>
          <w:numId w:val="10"/>
        </w:numPr>
        <w:tabs>
          <w:tab w:val="left" w:pos="1560"/>
        </w:tabs>
        <w:spacing w:line="360" w:lineRule="auto"/>
        <w:ind w:left="0" w:firstLine="709"/>
        <w:jc w:val="both"/>
        <w:rPr>
          <w:sz w:val="28"/>
          <w:szCs w:val="28"/>
          <w:lang w:val="uk-UA"/>
        </w:rPr>
      </w:pPr>
      <w:r>
        <w:rPr>
          <w:sz w:val="28"/>
          <w:szCs w:val="28"/>
          <w:lang w:val="uk-UA"/>
        </w:rPr>
        <w:t>Österreichisches Arzneibuch, Amtliche Ausgabe. – Wien: Verlag Österreich GmbH, 2006. – P. 385-386.</w:t>
      </w:r>
    </w:p>
    <w:p w:rsidR="003A3B25" w:rsidRDefault="00F64920">
      <w:pPr>
        <w:numPr>
          <w:ilvl w:val="0"/>
          <w:numId w:val="10"/>
        </w:numPr>
        <w:tabs>
          <w:tab w:val="left" w:pos="1560"/>
        </w:tabs>
        <w:spacing w:line="360" w:lineRule="auto"/>
        <w:ind w:left="0" w:firstLine="709"/>
        <w:jc w:val="both"/>
        <w:rPr>
          <w:sz w:val="28"/>
          <w:szCs w:val="28"/>
          <w:lang w:val="uk-UA"/>
        </w:rPr>
      </w:pPr>
      <w:r>
        <w:rPr>
          <w:sz w:val="28"/>
          <w:szCs w:val="28"/>
          <w:lang w:val="uk-UA"/>
        </w:rPr>
        <w:t>Pharmacological profile of Acorus calamus: An Overview / [S. R. Yende, U. N. Harle, D. T. Rajgure and etc.]. // Pharmacological Reviews. – 2008. – №2. – С. 22–26.</w:t>
      </w:r>
    </w:p>
    <w:p w:rsidR="003A3B25" w:rsidRDefault="00F64920">
      <w:pPr>
        <w:numPr>
          <w:ilvl w:val="0"/>
          <w:numId w:val="10"/>
        </w:numPr>
        <w:tabs>
          <w:tab w:val="left" w:pos="1560"/>
        </w:tabs>
        <w:spacing w:line="360" w:lineRule="auto"/>
        <w:ind w:left="0" w:firstLine="709"/>
        <w:jc w:val="both"/>
        <w:rPr>
          <w:color w:val="000000"/>
          <w:sz w:val="28"/>
          <w:szCs w:val="28"/>
          <w:shd w:val="clear" w:color="auto" w:fill="FFFFFF"/>
          <w:lang w:val="en-US"/>
        </w:rPr>
      </w:pPr>
      <w:r>
        <w:rPr>
          <w:sz w:val="28"/>
          <w:szCs w:val="28"/>
          <w:lang w:val="uk-UA"/>
        </w:rPr>
        <w:lastRenderedPageBreak/>
        <w:t>Pharmacopoeia of  the  Peoples’s  Republic of China</w:t>
      </w:r>
      <w:r>
        <w:rPr>
          <w:color w:val="000000"/>
          <w:sz w:val="28"/>
          <w:szCs w:val="28"/>
          <w:shd w:val="clear" w:color="auto" w:fill="FFFFFF"/>
          <w:lang w:val="en-US"/>
        </w:rPr>
        <w:t>: English ed., Vol. 1. /. – Bejing: People</w:t>
      </w:r>
      <w:r>
        <w:rPr>
          <w:color w:val="000000"/>
          <w:sz w:val="28"/>
          <w:szCs w:val="28"/>
          <w:shd w:val="clear" w:color="auto" w:fill="FFFFFF"/>
          <w:lang w:val="en-US"/>
        </w:rPr>
        <w:t>s Medical Publishing House. – 2005.</w:t>
      </w:r>
    </w:p>
    <w:p w:rsidR="003A3B25" w:rsidRDefault="00F64920">
      <w:pPr>
        <w:numPr>
          <w:ilvl w:val="0"/>
          <w:numId w:val="10"/>
        </w:numPr>
        <w:tabs>
          <w:tab w:val="left" w:pos="1560"/>
        </w:tabs>
        <w:spacing w:line="360" w:lineRule="auto"/>
        <w:ind w:left="0" w:firstLine="709"/>
        <w:jc w:val="both"/>
        <w:rPr>
          <w:color w:val="000000"/>
          <w:sz w:val="28"/>
          <w:szCs w:val="28"/>
          <w:shd w:val="clear" w:color="auto" w:fill="FFFFFF"/>
          <w:lang w:val="en-US"/>
        </w:rPr>
      </w:pPr>
      <w:r>
        <w:rPr>
          <w:color w:val="000000"/>
          <w:sz w:val="28"/>
          <w:szCs w:val="28"/>
          <w:shd w:val="clear" w:color="auto" w:fill="FFFFFF"/>
          <w:lang w:val="en-US"/>
        </w:rPr>
        <w:t>Public Statement on the use of herbal medicinal products containing asarone / The Committee on Herbal Medicinal Products / London, 2005, – [</w:t>
      </w:r>
      <w:r>
        <w:rPr>
          <w:color w:val="000000"/>
          <w:sz w:val="28"/>
          <w:szCs w:val="28"/>
          <w:shd w:val="clear" w:color="auto" w:fill="FFFFFF"/>
        </w:rPr>
        <w:t>Электронный</w:t>
      </w:r>
      <w:r>
        <w:rPr>
          <w:color w:val="000000"/>
          <w:sz w:val="28"/>
          <w:szCs w:val="28"/>
          <w:shd w:val="clear" w:color="auto" w:fill="FFFFFF"/>
          <w:lang w:val="en-US"/>
        </w:rPr>
        <w:t xml:space="preserve"> </w:t>
      </w:r>
      <w:r>
        <w:rPr>
          <w:color w:val="000000"/>
          <w:sz w:val="28"/>
          <w:szCs w:val="28"/>
          <w:shd w:val="clear" w:color="auto" w:fill="FFFFFF"/>
        </w:rPr>
        <w:t>ресурс</w:t>
      </w:r>
      <w:r>
        <w:rPr>
          <w:color w:val="000000"/>
          <w:sz w:val="28"/>
          <w:szCs w:val="28"/>
          <w:shd w:val="clear" w:color="auto" w:fill="FFFFFF"/>
          <w:lang w:val="en-US"/>
        </w:rPr>
        <w:t xml:space="preserve">]. – </w:t>
      </w:r>
      <w:r>
        <w:rPr>
          <w:color w:val="000000"/>
          <w:sz w:val="28"/>
          <w:szCs w:val="28"/>
          <w:shd w:val="clear" w:color="auto" w:fill="FFFFFF"/>
        </w:rPr>
        <w:t>Режим</w:t>
      </w:r>
      <w:r>
        <w:rPr>
          <w:color w:val="000000"/>
          <w:sz w:val="28"/>
          <w:szCs w:val="28"/>
          <w:shd w:val="clear" w:color="auto" w:fill="FFFFFF"/>
          <w:lang w:val="en-US"/>
        </w:rPr>
        <w:t xml:space="preserve"> </w:t>
      </w:r>
      <w:proofErr w:type="gramStart"/>
      <w:r>
        <w:rPr>
          <w:color w:val="000000"/>
          <w:sz w:val="28"/>
          <w:szCs w:val="28"/>
          <w:shd w:val="clear" w:color="auto" w:fill="FFFFFF"/>
        </w:rPr>
        <w:t>доступу</w:t>
      </w:r>
      <w:r>
        <w:rPr>
          <w:color w:val="000000"/>
          <w:sz w:val="28"/>
          <w:szCs w:val="28"/>
          <w:shd w:val="clear" w:color="auto" w:fill="FFFFFF"/>
          <w:lang w:val="en-US"/>
        </w:rPr>
        <w:t xml:space="preserve"> :</w:t>
      </w:r>
      <w:proofErr w:type="gramEnd"/>
      <w:r>
        <w:rPr>
          <w:color w:val="000000"/>
          <w:sz w:val="28"/>
          <w:szCs w:val="28"/>
          <w:shd w:val="clear" w:color="auto" w:fill="FFFFFF"/>
          <w:lang w:val="en-US"/>
        </w:rPr>
        <w:t xml:space="preserve"> </w:t>
      </w:r>
      <w:hyperlink r:id="rId8" w:history="1">
        <w:r>
          <w:rPr>
            <w:color w:val="000000"/>
            <w:sz w:val="28"/>
            <w:szCs w:val="28"/>
            <w:shd w:val="clear" w:color="auto" w:fill="FFFFFF"/>
            <w:lang w:val="en-US"/>
          </w:rPr>
          <w:t>http://www.ema.europa.eu/docs/en_GB/document_library/Scientific_guideline/2010/04/WC500089956.pdf</w:t>
        </w:r>
      </w:hyperlink>
      <w:r>
        <w:rPr>
          <w:color w:val="000000"/>
          <w:sz w:val="28"/>
          <w:szCs w:val="28"/>
          <w:shd w:val="clear" w:color="auto" w:fill="FFFFFF"/>
          <w:lang w:val="en-US"/>
        </w:rPr>
        <w:t>.</w:t>
      </w:r>
    </w:p>
    <w:p w:rsidR="003A3B25" w:rsidRDefault="00F64920">
      <w:pPr>
        <w:numPr>
          <w:ilvl w:val="0"/>
          <w:numId w:val="10"/>
        </w:numPr>
        <w:tabs>
          <w:tab w:val="left" w:pos="1560"/>
        </w:tabs>
        <w:spacing w:line="360" w:lineRule="auto"/>
        <w:ind w:left="0" w:firstLine="709"/>
        <w:jc w:val="both"/>
        <w:rPr>
          <w:sz w:val="28"/>
          <w:szCs w:val="28"/>
          <w:lang w:val="uk-UA"/>
        </w:rPr>
      </w:pPr>
      <w:r>
        <w:rPr>
          <w:color w:val="000000"/>
          <w:sz w:val="28"/>
          <w:szCs w:val="28"/>
          <w:shd w:val="clear" w:color="auto" w:fill="FFFFFF"/>
          <w:lang w:val="en-US"/>
        </w:rPr>
        <w:t xml:space="preserve">Raja </w:t>
      </w:r>
      <w:r>
        <w:rPr>
          <w:color w:val="000000"/>
          <w:sz w:val="28"/>
          <w:szCs w:val="28"/>
          <w:shd w:val="clear" w:color="auto" w:fill="FFFFFF"/>
        </w:rPr>
        <w:t>А</w:t>
      </w:r>
      <w:r>
        <w:rPr>
          <w:color w:val="000000"/>
          <w:sz w:val="28"/>
          <w:szCs w:val="28"/>
          <w:shd w:val="clear" w:color="auto" w:fill="FFFFFF"/>
          <w:lang w:val="en-US"/>
        </w:rPr>
        <w:t xml:space="preserve">. </w:t>
      </w:r>
      <w:r>
        <w:rPr>
          <w:color w:val="000000"/>
          <w:sz w:val="28"/>
          <w:szCs w:val="28"/>
          <w:shd w:val="clear" w:color="auto" w:fill="FFFFFF"/>
        </w:rPr>
        <w:t>Е</w:t>
      </w:r>
      <w:r>
        <w:rPr>
          <w:color w:val="000000"/>
          <w:sz w:val="28"/>
          <w:szCs w:val="28"/>
          <w:shd w:val="clear" w:color="auto" w:fill="FFFFFF"/>
          <w:lang w:val="en-US"/>
        </w:rPr>
        <w:t xml:space="preserve">. Acorus calamus linn.: chemistry and biology / </w:t>
      </w:r>
      <w:r>
        <w:rPr>
          <w:color w:val="000000"/>
          <w:sz w:val="28"/>
          <w:szCs w:val="28"/>
          <w:shd w:val="clear" w:color="auto" w:fill="FFFFFF"/>
        </w:rPr>
        <w:t>А</w:t>
      </w:r>
      <w:r>
        <w:rPr>
          <w:color w:val="000000"/>
          <w:sz w:val="28"/>
          <w:szCs w:val="28"/>
          <w:shd w:val="clear" w:color="auto" w:fill="FFFFFF"/>
          <w:lang w:val="en-US"/>
        </w:rPr>
        <w:t xml:space="preserve">. </w:t>
      </w:r>
      <w:r>
        <w:rPr>
          <w:color w:val="000000"/>
          <w:sz w:val="28"/>
          <w:szCs w:val="28"/>
          <w:shd w:val="clear" w:color="auto" w:fill="FFFFFF"/>
        </w:rPr>
        <w:t>Е</w:t>
      </w:r>
      <w:r>
        <w:rPr>
          <w:color w:val="000000"/>
          <w:sz w:val="28"/>
          <w:szCs w:val="28"/>
          <w:shd w:val="clear" w:color="auto" w:fill="FFFFFF"/>
          <w:lang w:val="en-US"/>
        </w:rPr>
        <w:t xml:space="preserve">. Raja, </w:t>
      </w:r>
      <w:r>
        <w:rPr>
          <w:color w:val="000000"/>
          <w:sz w:val="28"/>
          <w:szCs w:val="28"/>
          <w:shd w:val="clear" w:color="auto" w:fill="FFFFFF"/>
        </w:rPr>
        <w:t>М</w:t>
      </w:r>
      <w:r>
        <w:rPr>
          <w:color w:val="000000"/>
          <w:sz w:val="28"/>
          <w:szCs w:val="28"/>
          <w:shd w:val="clear" w:color="auto" w:fill="FFFFFF"/>
          <w:lang w:val="en-US"/>
        </w:rPr>
        <w:t xml:space="preserve">. </w:t>
      </w:r>
      <w:r>
        <w:rPr>
          <w:color w:val="000000"/>
          <w:sz w:val="28"/>
          <w:szCs w:val="28"/>
          <w:shd w:val="clear" w:color="auto" w:fill="FFFFFF"/>
          <w:lang w:val="en-US"/>
        </w:rPr>
        <w:t xml:space="preserve">Vijayalakshmi, G. Devalarao. // Research J Pharm Tech. – 2009. – №2. – </w:t>
      </w:r>
      <w:r>
        <w:rPr>
          <w:color w:val="000000"/>
          <w:sz w:val="28"/>
          <w:szCs w:val="28"/>
          <w:shd w:val="clear" w:color="auto" w:fill="FFFFFF"/>
        </w:rPr>
        <w:t>С</w:t>
      </w:r>
      <w:r>
        <w:rPr>
          <w:color w:val="000000"/>
          <w:sz w:val="28"/>
          <w:szCs w:val="28"/>
          <w:shd w:val="clear" w:color="auto" w:fill="FFFFFF"/>
          <w:lang w:val="en-US"/>
        </w:rPr>
        <w:t>. 256–261.</w:t>
      </w:r>
      <w:r>
        <w:rPr>
          <w:sz w:val="28"/>
          <w:szCs w:val="28"/>
          <w:lang w:val="uk-UA"/>
        </w:rPr>
        <w:t xml:space="preserve"> </w:t>
      </w:r>
    </w:p>
    <w:p w:rsidR="003A3B25" w:rsidRDefault="00F64920">
      <w:pPr>
        <w:numPr>
          <w:ilvl w:val="0"/>
          <w:numId w:val="10"/>
        </w:numPr>
        <w:tabs>
          <w:tab w:val="left" w:pos="1560"/>
        </w:tabs>
        <w:spacing w:line="360" w:lineRule="auto"/>
        <w:ind w:left="0" w:firstLine="709"/>
        <w:jc w:val="both"/>
        <w:rPr>
          <w:sz w:val="28"/>
          <w:szCs w:val="28"/>
          <w:lang w:val="uk-UA"/>
        </w:rPr>
      </w:pPr>
      <w:r>
        <w:rPr>
          <w:color w:val="000000"/>
          <w:sz w:val="28"/>
          <w:szCs w:val="28"/>
          <w:shd w:val="clear" w:color="auto" w:fill="FFFFFF"/>
          <w:lang w:val="en-US"/>
        </w:rPr>
        <w:t xml:space="preserve">Unger P. Comparative study of the cytotoxicity and genotoxicity of Alpha- and Beta-asarone / P. Unger, M. F. Melzig. // Scientia Pharmaceutica. – 2012. – №80. – </w:t>
      </w:r>
      <w:r>
        <w:rPr>
          <w:color w:val="000000"/>
          <w:sz w:val="28"/>
          <w:szCs w:val="28"/>
          <w:shd w:val="clear" w:color="auto" w:fill="FFFFFF"/>
        </w:rPr>
        <w:t>С</w:t>
      </w:r>
      <w:r>
        <w:rPr>
          <w:color w:val="000000"/>
          <w:sz w:val="28"/>
          <w:szCs w:val="28"/>
          <w:shd w:val="clear" w:color="auto" w:fill="FFFFFF"/>
          <w:lang w:val="en-US"/>
        </w:rPr>
        <w:t>. 663–668.</w:t>
      </w:r>
    </w:p>
    <w:p w:rsidR="003A3B25" w:rsidRDefault="003A3B25">
      <w:pPr>
        <w:tabs>
          <w:tab w:val="left" w:pos="1560"/>
        </w:tabs>
        <w:spacing w:line="360" w:lineRule="auto"/>
        <w:ind w:firstLine="709"/>
        <w:jc w:val="both"/>
        <w:rPr>
          <w:sz w:val="28"/>
          <w:szCs w:val="28"/>
          <w:lang w:val="en-US"/>
        </w:rPr>
      </w:pPr>
    </w:p>
    <w:p w:rsidR="003A3B25" w:rsidRDefault="00F64920">
      <w:pPr>
        <w:spacing w:line="360" w:lineRule="auto"/>
        <w:rPr>
          <w:sz w:val="28"/>
          <w:szCs w:val="28"/>
          <w:lang w:val="uk-UA"/>
        </w:rPr>
      </w:pPr>
      <w:r>
        <w:rPr>
          <w:sz w:val="28"/>
          <w:szCs w:val="28"/>
          <w:lang w:val="uk-UA"/>
        </w:rPr>
        <w:t xml:space="preserve">УДК: </w:t>
      </w:r>
      <w:r>
        <w:rPr>
          <w:sz w:val="28"/>
          <w:szCs w:val="28"/>
          <w:lang w:val="uk-UA"/>
        </w:rPr>
        <w:t>582.521.42:581.43:615.07</w:t>
      </w:r>
    </w:p>
    <w:p w:rsidR="003A3B25" w:rsidRDefault="00F64920">
      <w:pPr>
        <w:spacing w:line="360" w:lineRule="auto"/>
        <w:rPr>
          <w:sz w:val="28"/>
          <w:szCs w:val="28"/>
        </w:rPr>
      </w:pPr>
      <w:r>
        <w:rPr>
          <w:sz w:val="28"/>
          <w:szCs w:val="28"/>
        </w:rPr>
        <w:t xml:space="preserve">М.С. Яременко, Т.Н. Гонтовая, Л.М. Серая, Э.Э. Котова, А.Г. Котов </w:t>
      </w:r>
    </w:p>
    <w:p w:rsidR="003A3B25" w:rsidRDefault="00F64920">
      <w:pPr>
        <w:spacing w:line="360" w:lineRule="auto"/>
        <w:rPr>
          <w:b/>
          <w:sz w:val="28"/>
          <w:szCs w:val="28"/>
        </w:rPr>
      </w:pPr>
      <w:r>
        <w:rPr>
          <w:b/>
          <w:sz w:val="28"/>
          <w:szCs w:val="28"/>
        </w:rPr>
        <w:t>ПОДХОДЫ К РАЗРАБОТКЕ МОНОГРАФИИ "АИРА ОБЫКНОВЕННОГО КОРНЕВИЩА" ДЛЯ ВКЛЮЧЕНИЯ В ГОСУДАРСТВЕННУЮ ФАРМАКОПЕЮ УКРАИНЫ</w:t>
      </w:r>
    </w:p>
    <w:p w:rsidR="003A3B25" w:rsidRDefault="00F64920">
      <w:pPr>
        <w:spacing w:line="360" w:lineRule="auto"/>
        <w:ind w:firstLine="851"/>
        <w:jc w:val="both"/>
        <w:rPr>
          <w:sz w:val="28"/>
          <w:szCs w:val="28"/>
        </w:rPr>
      </w:pPr>
      <w:r>
        <w:rPr>
          <w:sz w:val="28"/>
          <w:szCs w:val="28"/>
        </w:rPr>
        <w:t xml:space="preserve">Предложены подходы к разработке монографии </w:t>
      </w:r>
      <w:r>
        <w:rPr>
          <w:sz w:val="28"/>
          <w:szCs w:val="28"/>
        </w:rPr>
        <w:t xml:space="preserve">"Аира обыкновенного </w:t>
      </w:r>
      <w:r>
        <w:rPr>
          <w:sz w:val="28"/>
          <w:szCs w:val="28"/>
          <w:lang w:val="uk-UA"/>
        </w:rPr>
        <w:t>к</w:t>
      </w:r>
      <w:r>
        <w:rPr>
          <w:sz w:val="28"/>
          <w:szCs w:val="28"/>
        </w:rPr>
        <w:t>орневища" для включения в Государственную Фармакопею Украины на основе анализа монографий на корневище аира обыкновенного, представленных в</w:t>
      </w:r>
      <w:r>
        <w:rPr>
          <w:sz w:val="28"/>
          <w:szCs w:val="28"/>
          <w:lang w:val="uk-UA"/>
        </w:rPr>
        <w:t xml:space="preserve"> таких нормативн</w:t>
      </w:r>
      <w:r>
        <w:rPr>
          <w:sz w:val="28"/>
          <w:szCs w:val="28"/>
        </w:rPr>
        <w:t>ы</w:t>
      </w:r>
      <w:r>
        <w:rPr>
          <w:sz w:val="28"/>
          <w:szCs w:val="28"/>
          <w:lang w:val="uk-UA"/>
        </w:rPr>
        <w:t xml:space="preserve">х документах (НД): </w:t>
      </w:r>
      <w:r>
        <w:rPr>
          <w:sz w:val="28"/>
          <w:szCs w:val="28"/>
        </w:rPr>
        <w:t>Государственной Фармакопее СССР (ГФ) Х</w:t>
      </w:r>
      <w:r>
        <w:rPr>
          <w:sz w:val="28"/>
          <w:szCs w:val="28"/>
          <w:lang w:val="uk-UA"/>
        </w:rPr>
        <w:t>І</w:t>
      </w:r>
      <w:r>
        <w:rPr>
          <w:sz w:val="28"/>
          <w:szCs w:val="28"/>
        </w:rPr>
        <w:t xml:space="preserve"> издание, Государственной Фармакопеи Республики Беларусь (ГФ РБ), Немецкого Фармацевтического Кодекса (Deutscher Arzneimittel Codex, DAС 2011), Австрийской Фармакопеи 2006 (Österreichisches Аrzneibuch, ÖAB) и Китайской Фармакопеи 2005 (CPh).</w:t>
      </w:r>
    </w:p>
    <w:p w:rsidR="003A3B25" w:rsidRDefault="00F64920">
      <w:pPr>
        <w:spacing w:line="360" w:lineRule="auto"/>
        <w:ind w:firstLine="851"/>
        <w:jc w:val="both"/>
        <w:rPr>
          <w:sz w:val="28"/>
          <w:szCs w:val="28"/>
        </w:rPr>
      </w:pPr>
      <w:r>
        <w:rPr>
          <w:b/>
          <w:sz w:val="28"/>
          <w:szCs w:val="28"/>
        </w:rPr>
        <w:t>Ключевые слова</w:t>
      </w:r>
      <w:r>
        <w:rPr>
          <w:sz w:val="28"/>
          <w:szCs w:val="28"/>
        </w:rPr>
        <w:t>: аир обыкновенный; корневища; стандартизация; идентификация; Государственная Фармакопея Украины.</w:t>
      </w:r>
    </w:p>
    <w:p w:rsidR="003A3B25" w:rsidRDefault="003A3B25">
      <w:pPr>
        <w:spacing w:line="360" w:lineRule="auto"/>
        <w:ind w:firstLine="851"/>
        <w:jc w:val="both"/>
      </w:pPr>
    </w:p>
    <w:p w:rsidR="003A3B25" w:rsidRDefault="00F64920">
      <w:pPr>
        <w:spacing w:line="360" w:lineRule="auto"/>
        <w:rPr>
          <w:sz w:val="28"/>
          <w:szCs w:val="28"/>
        </w:rPr>
      </w:pPr>
      <w:r>
        <w:rPr>
          <w:sz w:val="28"/>
          <w:szCs w:val="28"/>
          <w:lang w:val="en-US"/>
        </w:rPr>
        <w:lastRenderedPageBreak/>
        <w:t>UDC</w:t>
      </w:r>
      <w:r w:rsidRPr="00F64920">
        <w:rPr>
          <w:sz w:val="28"/>
          <w:szCs w:val="28"/>
        </w:rPr>
        <w:t xml:space="preserve">: </w:t>
      </w:r>
      <w:r>
        <w:rPr>
          <w:sz w:val="28"/>
          <w:szCs w:val="28"/>
          <w:lang w:val="uk-UA"/>
        </w:rPr>
        <w:t>582.521.42:581.43:615.07</w:t>
      </w:r>
    </w:p>
    <w:p w:rsidR="003A3B25" w:rsidRDefault="00F64920">
      <w:pPr>
        <w:spacing w:line="360" w:lineRule="auto"/>
        <w:jc w:val="both"/>
        <w:rPr>
          <w:sz w:val="28"/>
          <w:szCs w:val="28"/>
        </w:rPr>
      </w:pPr>
      <w:r>
        <w:rPr>
          <w:sz w:val="28"/>
          <w:szCs w:val="28"/>
          <w:lang w:val="en-US"/>
        </w:rPr>
        <w:t>M</w:t>
      </w:r>
      <w:r>
        <w:rPr>
          <w:sz w:val="28"/>
          <w:szCs w:val="28"/>
        </w:rPr>
        <w:t>.</w:t>
      </w:r>
      <w:r>
        <w:rPr>
          <w:sz w:val="28"/>
          <w:szCs w:val="28"/>
          <w:lang w:val="en-US"/>
        </w:rPr>
        <w:t>S</w:t>
      </w:r>
      <w:r>
        <w:rPr>
          <w:sz w:val="28"/>
          <w:szCs w:val="28"/>
        </w:rPr>
        <w:t xml:space="preserve">. </w:t>
      </w:r>
      <w:r>
        <w:rPr>
          <w:sz w:val="28"/>
          <w:szCs w:val="28"/>
          <w:lang w:val="en-US"/>
        </w:rPr>
        <w:t>Yaremenko</w:t>
      </w:r>
      <w:r>
        <w:rPr>
          <w:sz w:val="28"/>
          <w:szCs w:val="28"/>
        </w:rPr>
        <w:t xml:space="preserve">, </w:t>
      </w:r>
      <w:r>
        <w:rPr>
          <w:sz w:val="28"/>
          <w:szCs w:val="28"/>
          <w:lang w:val="en-US"/>
        </w:rPr>
        <w:t>T</w:t>
      </w:r>
      <w:r>
        <w:rPr>
          <w:sz w:val="28"/>
          <w:szCs w:val="28"/>
        </w:rPr>
        <w:t>.</w:t>
      </w:r>
      <w:r>
        <w:rPr>
          <w:sz w:val="28"/>
          <w:szCs w:val="28"/>
          <w:lang w:val="en-US"/>
        </w:rPr>
        <w:t>M</w:t>
      </w:r>
      <w:r>
        <w:rPr>
          <w:sz w:val="28"/>
          <w:szCs w:val="28"/>
        </w:rPr>
        <w:t xml:space="preserve">. </w:t>
      </w:r>
      <w:r>
        <w:rPr>
          <w:sz w:val="28"/>
          <w:szCs w:val="28"/>
          <w:lang w:val="en-US"/>
        </w:rPr>
        <w:t>Gontova</w:t>
      </w:r>
      <w:r>
        <w:rPr>
          <w:sz w:val="28"/>
          <w:szCs w:val="28"/>
        </w:rPr>
        <w:t xml:space="preserve">, </w:t>
      </w:r>
      <w:r>
        <w:rPr>
          <w:sz w:val="28"/>
          <w:szCs w:val="28"/>
          <w:lang w:val="en-US"/>
        </w:rPr>
        <w:t>L</w:t>
      </w:r>
      <w:r>
        <w:rPr>
          <w:sz w:val="28"/>
          <w:szCs w:val="28"/>
        </w:rPr>
        <w:t>.</w:t>
      </w:r>
      <w:r>
        <w:rPr>
          <w:sz w:val="28"/>
          <w:szCs w:val="28"/>
          <w:lang w:val="en-US"/>
        </w:rPr>
        <w:t>M</w:t>
      </w:r>
      <w:r>
        <w:rPr>
          <w:sz w:val="28"/>
          <w:szCs w:val="28"/>
        </w:rPr>
        <w:t xml:space="preserve">. </w:t>
      </w:r>
      <w:r>
        <w:rPr>
          <w:sz w:val="28"/>
          <w:szCs w:val="28"/>
          <w:lang w:val="en-US"/>
        </w:rPr>
        <w:t>Sira</w:t>
      </w:r>
      <w:r>
        <w:rPr>
          <w:sz w:val="28"/>
          <w:szCs w:val="28"/>
        </w:rPr>
        <w:t xml:space="preserve">, </w:t>
      </w:r>
      <w:r>
        <w:rPr>
          <w:sz w:val="28"/>
          <w:szCs w:val="28"/>
          <w:lang w:val="en-US"/>
        </w:rPr>
        <w:t>E</w:t>
      </w:r>
      <w:r>
        <w:rPr>
          <w:sz w:val="28"/>
          <w:szCs w:val="28"/>
        </w:rPr>
        <w:t>.</w:t>
      </w:r>
      <w:r>
        <w:rPr>
          <w:sz w:val="28"/>
          <w:szCs w:val="28"/>
          <w:lang w:val="en-US"/>
        </w:rPr>
        <w:t>E</w:t>
      </w:r>
      <w:r>
        <w:rPr>
          <w:sz w:val="28"/>
          <w:szCs w:val="28"/>
        </w:rPr>
        <w:t xml:space="preserve">. </w:t>
      </w:r>
      <w:r>
        <w:rPr>
          <w:sz w:val="28"/>
          <w:szCs w:val="28"/>
          <w:lang w:val="en-US"/>
        </w:rPr>
        <w:t>Kotova</w:t>
      </w:r>
      <w:r>
        <w:rPr>
          <w:sz w:val="28"/>
          <w:szCs w:val="28"/>
        </w:rPr>
        <w:t xml:space="preserve">, </w:t>
      </w:r>
      <w:r>
        <w:rPr>
          <w:sz w:val="28"/>
          <w:szCs w:val="28"/>
          <w:lang w:val="en-US"/>
        </w:rPr>
        <w:t>A</w:t>
      </w:r>
      <w:r>
        <w:rPr>
          <w:sz w:val="28"/>
          <w:szCs w:val="28"/>
        </w:rPr>
        <w:t>.</w:t>
      </w:r>
      <w:r>
        <w:rPr>
          <w:sz w:val="28"/>
          <w:szCs w:val="28"/>
          <w:lang w:val="en-US"/>
        </w:rPr>
        <w:t>G</w:t>
      </w:r>
      <w:r>
        <w:rPr>
          <w:sz w:val="28"/>
          <w:szCs w:val="28"/>
        </w:rPr>
        <w:t xml:space="preserve">. </w:t>
      </w:r>
      <w:r>
        <w:rPr>
          <w:sz w:val="28"/>
          <w:szCs w:val="28"/>
          <w:lang w:val="en-US"/>
        </w:rPr>
        <w:t>Kotov</w:t>
      </w:r>
    </w:p>
    <w:p w:rsidR="003A3B25" w:rsidRDefault="00F64920">
      <w:pPr>
        <w:spacing w:line="360" w:lineRule="auto"/>
        <w:jc w:val="both"/>
        <w:rPr>
          <w:b/>
          <w:sz w:val="28"/>
          <w:szCs w:val="28"/>
          <w:lang w:val="en-US"/>
        </w:rPr>
      </w:pPr>
      <w:r>
        <w:rPr>
          <w:b/>
          <w:sz w:val="28"/>
          <w:szCs w:val="28"/>
          <w:lang w:val="en-US"/>
        </w:rPr>
        <w:t>APPROACH TO THE DEVELOPMENT OF THE MONOGRAPH "ACORUS CALAMUS R</w:t>
      </w:r>
      <w:r>
        <w:rPr>
          <w:b/>
          <w:sz w:val="28"/>
          <w:szCs w:val="28"/>
          <w:lang w:val="en-US"/>
        </w:rPr>
        <w:t>HIZOME" FOR INCLUSION IN THE STATE PHARMACOPOEIA OF UKRAINE</w:t>
      </w:r>
    </w:p>
    <w:p w:rsidR="003A3B25" w:rsidRDefault="00F64920">
      <w:pPr>
        <w:spacing w:line="360" w:lineRule="auto"/>
        <w:ind w:firstLine="850"/>
        <w:jc w:val="both"/>
        <w:rPr>
          <w:sz w:val="28"/>
          <w:szCs w:val="28"/>
          <w:lang w:val="en-US"/>
        </w:rPr>
      </w:pPr>
      <w:r>
        <w:rPr>
          <w:sz w:val="28"/>
          <w:szCs w:val="28"/>
          <w:lang w:val="en-US"/>
        </w:rPr>
        <w:t>The approaches to the development of the monograph "Acorus calamus rhizome" for inclusion in the State Pharmacopoeia of Ukraine on the basis of the analysis of monographs on the Acorus calamus rhi</w:t>
      </w:r>
      <w:r>
        <w:rPr>
          <w:sz w:val="28"/>
          <w:szCs w:val="28"/>
          <w:lang w:val="en-US"/>
        </w:rPr>
        <w:t>zome represented in the State Pharmacopoeia of the USSR (GF) XI edition, the State Pharmacopoeia of the Republic of Belarus (GF RB), the German Pharmaceutical Code (the Deutscher Arzneimittel Codex, DAC 2011), the Austrian Pharmacopoeia 2006 (Österreichisc</w:t>
      </w:r>
      <w:r>
        <w:rPr>
          <w:sz w:val="28"/>
          <w:szCs w:val="28"/>
          <w:lang w:val="en-US"/>
        </w:rPr>
        <w:t>hes Arzneibuch, ÖAB) and Chinese Pharmacopoeia 2005 (CPh).</w:t>
      </w:r>
    </w:p>
    <w:p w:rsidR="003A3B25" w:rsidRDefault="00F64920">
      <w:pPr>
        <w:spacing w:line="360" w:lineRule="auto"/>
        <w:jc w:val="both"/>
        <w:rPr>
          <w:sz w:val="28"/>
          <w:szCs w:val="28"/>
          <w:lang w:val="en-US"/>
        </w:rPr>
      </w:pPr>
      <w:r>
        <w:rPr>
          <w:b/>
          <w:sz w:val="28"/>
          <w:szCs w:val="28"/>
          <w:lang w:val="en-US"/>
        </w:rPr>
        <w:t>Keywords</w:t>
      </w:r>
      <w:r>
        <w:rPr>
          <w:sz w:val="28"/>
          <w:szCs w:val="28"/>
          <w:lang w:val="en-US"/>
        </w:rPr>
        <w:t>: Acorus calamus; rhizomes; standardization; identification; State Pharmacopoeia of Ukraine.</w:t>
      </w:r>
    </w:p>
    <w:p w:rsidR="003A3B25" w:rsidRDefault="00F64920">
      <w:pPr>
        <w:spacing w:line="360" w:lineRule="auto"/>
        <w:jc w:val="both"/>
        <w:rPr>
          <w:color w:val="FF0000"/>
          <w:sz w:val="28"/>
          <w:szCs w:val="28"/>
        </w:rPr>
      </w:pPr>
      <w:r>
        <w:rPr>
          <w:sz w:val="28"/>
          <w:szCs w:val="28"/>
          <w:lang w:val="uk-UA"/>
        </w:rPr>
        <w:t>Адрес для листування</w:t>
      </w:r>
      <w:r>
        <w:rPr>
          <w:color w:val="FF0000"/>
          <w:sz w:val="28"/>
          <w:szCs w:val="28"/>
          <w:lang w:val="uk-UA"/>
        </w:rPr>
        <w:t xml:space="preserve">: </w:t>
      </w:r>
      <w:hyperlink r:id="rId9" w:history="1">
        <w:r>
          <w:rPr>
            <w:rStyle w:val="ab"/>
            <w:sz w:val="28"/>
            <w:szCs w:val="28"/>
            <w:lang w:val="en-US"/>
          </w:rPr>
          <w:t>caecys</w:t>
        </w:r>
        <w:r>
          <w:rPr>
            <w:rStyle w:val="ab"/>
            <w:sz w:val="28"/>
            <w:szCs w:val="28"/>
          </w:rPr>
          <w:t>@</w:t>
        </w:r>
        <w:r>
          <w:rPr>
            <w:rStyle w:val="ab"/>
            <w:sz w:val="28"/>
            <w:szCs w:val="28"/>
            <w:lang w:val="en-US"/>
          </w:rPr>
          <w:t>gmail</w:t>
        </w:r>
        <w:r>
          <w:rPr>
            <w:rStyle w:val="ab"/>
            <w:sz w:val="28"/>
            <w:szCs w:val="28"/>
          </w:rPr>
          <w:t>.</w:t>
        </w:r>
        <w:r>
          <w:rPr>
            <w:rStyle w:val="ab"/>
            <w:sz w:val="28"/>
            <w:szCs w:val="28"/>
            <w:lang w:val="en-US"/>
          </w:rPr>
          <w:t>com</w:t>
        </w:r>
      </w:hyperlink>
      <w:r>
        <w:rPr>
          <w:color w:val="FF0000"/>
          <w:sz w:val="28"/>
          <w:szCs w:val="28"/>
        </w:rPr>
        <w:t xml:space="preserve"> </w:t>
      </w:r>
    </w:p>
    <w:p w:rsidR="003A3B25" w:rsidRDefault="003A3B25">
      <w:pPr>
        <w:spacing w:line="360" w:lineRule="auto"/>
        <w:jc w:val="both"/>
        <w:rPr>
          <w:color w:val="FF0000"/>
          <w:sz w:val="28"/>
          <w:szCs w:val="28"/>
          <w:lang w:val="uk-UA"/>
        </w:rPr>
      </w:pPr>
    </w:p>
    <w:p w:rsidR="003A3B25" w:rsidRDefault="00F64920">
      <w:pPr>
        <w:spacing w:line="360" w:lineRule="auto"/>
        <w:jc w:val="both"/>
        <w:rPr>
          <w:sz w:val="28"/>
          <w:szCs w:val="28"/>
          <w:shd w:val="clear" w:color="auto" w:fill="FFFFFF"/>
        </w:rPr>
      </w:pPr>
      <w:r>
        <w:rPr>
          <w:sz w:val="28"/>
          <w:szCs w:val="28"/>
          <w:lang w:val="en-US"/>
        </w:rPr>
        <w:t>ORCID</w:t>
      </w:r>
      <w:r>
        <w:rPr>
          <w:sz w:val="28"/>
          <w:szCs w:val="28"/>
          <w:lang w:val="uk-UA"/>
        </w:rPr>
        <w:t>:</w:t>
      </w:r>
      <w:r>
        <w:rPr>
          <w:sz w:val="28"/>
          <w:szCs w:val="28"/>
          <w:lang w:val="uk-UA"/>
        </w:rPr>
        <w:t xml:space="preserve"> Яременко М.С. </w:t>
      </w:r>
      <w:r>
        <w:rPr>
          <w:sz w:val="28"/>
          <w:szCs w:val="28"/>
          <w:shd w:val="clear" w:color="auto" w:fill="FFFFFF"/>
        </w:rPr>
        <w:t>0000-0001-7736-0336</w:t>
      </w:r>
    </w:p>
    <w:p w:rsidR="003A3B25" w:rsidRDefault="00F64920">
      <w:pPr>
        <w:spacing w:line="360" w:lineRule="auto"/>
        <w:jc w:val="both"/>
        <w:rPr>
          <w:sz w:val="28"/>
          <w:szCs w:val="28"/>
          <w:lang w:val="uk-UA"/>
        </w:rPr>
      </w:pPr>
      <w:r>
        <w:rPr>
          <w:sz w:val="28"/>
          <w:szCs w:val="28"/>
          <w:lang w:val="uk-UA"/>
        </w:rPr>
        <w:t xml:space="preserve">Гонтова Т.М. </w:t>
      </w:r>
      <w:r>
        <w:rPr>
          <w:sz w:val="28"/>
          <w:szCs w:val="28"/>
        </w:rPr>
        <w:t>0000-0003-3941-9127</w:t>
      </w:r>
    </w:p>
    <w:p w:rsidR="003A3B25" w:rsidRDefault="00F64920">
      <w:pPr>
        <w:spacing w:line="360" w:lineRule="auto"/>
        <w:jc w:val="both"/>
        <w:rPr>
          <w:sz w:val="28"/>
          <w:szCs w:val="28"/>
          <w:lang w:val="uk-UA"/>
        </w:rPr>
      </w:pPr>
      <w:r>
        <w:rPr>
          <w:sz w:val="28"/>
          <w:szCs w:val="28"/>
          <w:lang w:val="uk-UA"/>
        </w:rPr>
        <w:t>Сіра Л.М. 0000-0003-0778-4752</w:t>
      </w:r>
    </w:p>
    <w:p w:rsidR="003A3B25" w:rsidRDefault="00F64920">
      <w:pPr>
        <w:spacing w:line="360" w:lineRule="auto"/>
        <w:jc w:val="both"/>
        <w:rPr>
          <w:sz w:val="28"/>
          <w:szCs w:val="28"/>
          <w:lang w:val="uk-UA"/>
        </w:rPr>
      </w:pPr>
      <w:r>
        <w:rPr>
          <w:sz w:val="28"/>
          <w:szCs w:val="28"/>
          <w:lang w:val="uk-UA"/>
        </w:rPr>
        <w:t>Котов А.Г.</w:t>
      </w:r>
      <w:r>
        <w:rPr>
          <w:sz w:val="28"/>
          <w:szCs w:val="28"/>
        </w:rPr>
        <w:t xml:space="preserve"> 0000-0001-8893-8746</w:t>
      </w:r>
    </w:p>
    <w:p w:rsidR="003A3B25" w:rsidRDefault="00F64920">
      <w:pPr>
        <w:spacing w:line="360" w:lineRule="auto"/>
        <w:jc w:val="both"/>
        <w:rPr>
          <w:sz w:val="28"/>
          <w:szCs w:val="28"/>
          <w:lang w:val="uk-UA"/>
        </w:rPr>
      </w:pPr>
      <w:r>
        <w:rPr>
          <w:sz w:val="28"/>
          <w:szCs w:val="28"/>
          <w:lang w:val="uk-UA"/>
        </w:rPr>
        <w:t xml:space="preserve">Котова Е.Е. </w:t>
      </w:r>
      <w:r>
        <w:rPr>
          <w:sz w:val="28"/>
          <w:szCs w:val="28"/>
        </w:rPr>
        <w:t>0000-0003-2788-2720</w:t>
      </w:r>
    </w:p>
    <w:sectPr w:rsidR="003A3B25">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pStyle w:val="3"/>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nsid w:val="00000001"/>
    <w:multiLevelType w:val="singleLevel"/>
    <w:tmpl w:val="00000002"/>
    <w:name w:val="WW8Num1"/>
    <w:lvl w:ilvl="0">
      <w:start w:val="1"/>
      <w:numFmt w:val="decimal"/>
      <w:lvlText w:val="%1."/>
      <w:lvlJc w:val="left"/>
      <w:pPr>
        <w:tabs>
          <w:tab w:val="left" w:pos="1805"/>
        </w:tabs>
        <w:ind w:left="1805" w:hanging="1095"/>
      </w:pPr>
      <w:rPr>
        <w:rFonts w:ascii="Times New Roman" w:eastAsia="Times New Roman" w:hAnsi="Times New Roman" w:cs="Times New Roman"/>
        <w:lang w:val="ru-RU"/>
      </w:rPr>
    </w:lvl>
  </w:abstractNum>
  <w:abstractNum w:abstractNumId="2">
    <w:nsid w:val="00000002"/>
    <w:multiLevelType w:val="singleLevel"/>
    <w:tmpl w:val="00000003"/>
    <w:name w:val="WW8Num2"/>
    <w:lvl w:ilvl="0">
      <w:start w:val="1"/>
      <w:numFmt w:val="bullet"/>
      <w:lvlText w:val="-"/>
      <w:lvlJc w:val="left"/>
      <w:pPr>
        <w:tabs>
          <w:tab w:val="left" w:pos="1605"/>
        </w:tabs>
        <w:ind w:left="1605" w:hanging="885"/>
      </w:pPr>
      <w:rPr>
        <w:rFonts w:ascii="Times New Roman" w:hAnsi="Times New Roman" w:cs="Times New Roman"/>
      </w:rPr>
    </w:lvl>
  </w:abstractNum>
  <w:abstractNum w:abstractNumId="3">
    <w:nsid w:val="00000003"/>
    <w:multiLevelType w:val="hybridMultilevel"/>
    <w:tmpl w:val="BFFCA49C"/>
    <w:lvl w:ilvl="0" w:tplc="00000002">
      <w:start w:val="1"/>
      <w:numFmt w:val="decimal"/>
      <w:lvlText w:val="%1."/>
      <w:lvlJc w:val="left"/>
      <w:pPr>
        <w:ind w:left="720" w:hanging="360"/>
      </w:pPr>
      <w:rPr>
        <w:rFonts w:ascii="Times New Roman" w:eastAsia="Times New Roman" w:hAnsi="Times New Roman" w:cs="Times New Roman"/>
        <w:lang w:val="ru-RU"/>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0000004"/>
    <w:multiLevelType w:val="singleLevel"/>
    <w:tmpl w:val="00000002"/>
    <w:lvl w:ilvl="0">
      <w:start w:val="1"/>
      <w:numFmt w:val="decimal"/>
      <w:lvlText w:val="%1."/>
      <w:lvlJc w:val="left"/>
      <w:pPr>
        <w:tabs>
          <w:tab w:val="left" w:pos="1805"/>
        </w:tabs>
        <w:ind w:left="1805" w:hanging="1095"/>
      </w:pPr>
      <w:rPr>
        <w:rFonts w:ascii="Times New Roman" w:eastAsia="Times New Roman" w:hAnsi="Times New Roman" w:cs="Times New Roman"/>
        <w:lang w:val="ru-RU"/>
      </w:rPr>
    </w:lvl>
  </w:abstractNum>
  <w:abstractNum w:abstractNumId="5">
    <w:nsid w:val="00000005"/>
    <w:multiLevelType w:val="hybridMultilevel"/>
    <w:tmpl w:val="9F4227C4"/>
    <w:lvl w:ilvl="0" w:tplc="5992C428">
      <w:start w:val="1"/>
      <w:numFmt w:val="decimal"/>
      <w:lvlText w:val="%1."/>
      <w:lvlJc w:val="left"/>
      <w:pPr>
        <w:ind w:left="1080" w:hanging="360"/>
      </w:pPr>
      <w:rPr>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00000006"/>
    <w:multiLevelType w:val="hybridMultilevel"/>
    <w:tmpl w:val="8E8AAF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0000007"/>
    <w:multiLevelType w:val="hybridMultilevel"/>
    <w:tmpl w:val="C92C36F8"/>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8">
    <w:nsid w:val="00000008"/>
    <w:multiLevelType w:val="hybridMultilevel"/>
    <w:tmpl w:val="35C2C83C"/>
    <w:lvl w:ilvl="0" w:tplc="00000002">
      <w:start w:val="1"/>
      <w:numFmt w:val="decimal"/>
      <w:lvlText w:val="%1."/>
      <w:lvlJc w:val="left"/>
      <w:pPr>
        <w:tabs>
          <w:tab w:val="left" w:pos="3364"/>
        </w:tabs>
        <w:ind w:left="3364" w:hanging="1095"/>
      </w:pPr>
      <w:rPr>
        <w:rFonts w:ascii="Times New Roman" w:eastAsia="Times New Roman" w:hAnsi="Times New Roman" w:cs="Times New Roman"/>
        <w:lang w:val="ru-RU"/>
      </w:rPr>
    </w:lvl>
    <w:lvl w:ilvl="1" w:tplc="04220019">
      <w:start w:val="1"/>
      <w:numFmt w:val="lowerLetter"/>
      <w:lvlText w:val="%2."/>
      <w:lvlJc w:val="left"/>
      <w:pPr>
        <w:ind w:left="1440" w:hanging="360"/>
      </w:pPr>
    </w:lvl>
    <w:lvl w:ilvl="2" w:tplc="2206AA48">
      <w:start w:val="1"/>
      <w:numFmt w:val="upperLetter"/>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00000009"/>
    <w:multiLevelType w:val="hybridMultilevel"/>
    <w:tmpl w:val="D0166B8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8"/>
  </w:num>
  <w:num w:numId="5">
    <w:abstractNumId w:val="3"/>
  </w:num>
  <w:num w:numId="6">
    <w:abstractNumId w:val="9"/>
  </w:num>
  <w:num w:numId="7">
    <w:abstractNumId w:val="6"/>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3A3B25"/>
    <w:rsid w:val="003A3B25"/>
    <w:rsid w:val="00F649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sz w:val="24"/>
      <w:szCs w:val="24"/>
      <w:lang w:val="ru-RU" w:eastAsia="ar-SA"/>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lang w:val="ru-RU"/>
    </w:rPr>
  </w:style>
  <w:style w:type="character" w:customStyle="1" w:styleId="WW8Num2z0">
    <w:name w:val="WW8Num2z0"/>
    <w:rPr>
      <w:rFonts w:ascii="Times New Roman" w:eastAsia="Times New Roman" w:hAnsi="Times New Roman" w:cs="Times New Roman"/>
    </w:rPr>
  </w:style>
  <w:style w:type="character" w:customStyle="1" w:styleId="30">
    <w:name w:val="Основной шрифт абзаца3"/>
    <w:rPr>
      <w:rFonts w:ascii="Times New Roman" w:eastAsia="Times New Roman" w:hAnsi="Times New Roman" w:cs="Times New Roman"/>
    </w:rPr>
  </w:style>
  <w:style w:type="character" w:customStyle="1" w:styleId="31">
    <w:name w:val="Заголовок 3 Знак"/>
    <w:rPr>
      <w:rFonts w:ascii="Cambria" w:eastAsia="Times New Roman" w:hAnsi="Cambria" w:cs="Times New Roman"/>
      <w:b/>
      <w:bCs/>
      <w:sz w:val="26"/>
      <w:szCs w:val="26"/>
      <w:lang w:val="ru-RU"/>
    </w:rPr>
  </w:style>
  <w:style w:type="character" w:customStyle="1" w:styleId="WW8Num4z0">
    <w:name w:val="WW8Num4z0"/>
    <w:rPr>
      <w:rFonts w:ascii="Symbol" w:eastAsia="Times New Roman" w:hAnsi="Symbol" w:cs="Times New Roman"/>
    </w:rPr>
  </w:style>
  <w:style w:type="character" w:customStyle="1" w:styleId="WW8Num4z1">
    <w:name w:val="WW8Num4z1"/>
    <w:rPr>
      <w:rFonts w:ascii="Courier New" w:eastAsia="Times New Roman" w:hAnsi="Courier New" w:cs="Courier New"/>
    </w:rPr>
  </w:style>
  <w:style w:type="character" w:customStyle="1" w:styleId="WW8Num4z2">
    <w:name w:val="WW8Num4z2"/>
    <w:rPr>
      <w:rFonts w:ascii="Wingdings" w:eastAsia="Times New Roman" w:hAnsi="Wingdings" w:cs="Times New Roman"/>
    </w:rPr>
  </w:style>
  <w:style w:type="character" w:customStyle="1" w:styleId="2">
    <w:name w:val="Основной шрифт абзаца2"/>
    <w:rPr>
      <w:rFonts w:ascii="Times New Roman" w:eastAsia="Times New Roman" w:hAnsi="Times New Roman" w:cs="Times New Roman"/>
    </w:rPr>
  </w:style>
  <w:style w:type="character" w:customStyle="1" w:styleId="Absatz-Standardschriftart">
    <w:name w:val="Absatz-Standardschriftart"/>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eastAsia="Times New Roman" w:hAnsi="Courier New" w:cs="Courier New"/>
    </w:rPr>
  </w:style>
  <w:style w:type="character" w:customStyle="1" w:styleId="WW8Num3z2">
    <w:name w:val="WW8Num3z2"/>
    <w:rPr>
      <w:rFonts w:ascii="Wingdings" w:eastAsia="Times New Roman" w:hAnsi="Wingdings" w:cs="Times New Roman"/>
    </w:rPr>
  </w:style>
  <w:style w:type="character" w:customStyle="1" w:styleId="WW8Num3z3">
    <w:name w:val="WW8Num3z3"/>
    <w:rPr>
      <w:rFonts w:ascii="Symbol" w:eastAsia="Times New Roman" w:hAnsi="Symbol" w:cs="Times New Roman"/>
    </w:rPr>
  </w:style>
  <w:style w:type="character" w:customStyle="1" w:styleId="1">
    <w:name w:val="Основной шрифт абзаца1"/>
    <w:rPr>
      <w:rFonts w:ascii="Times New Roman" w:eastAsia="Times New Roman" w:hAnsi="Times New Roman" w:cs="Times New Roman"/>
    </w:rPr>
  </w:style>
  <w:style w:type="character" w:customStyle="1" w:styleId="hps">
    <w:name w:val="hps"/>
    <w:rPr>
      <w:rFonts w:ascii="Times New Roman" w:eastAsia="Times New Roman" w:hAnsi="Times New Roman" w:cs="Times New Roman"/>
    </w:rPr>
  </w:style>
  <w:style w:type="character" w:customStyle="1" w:styleId="hpsatn">
    <w:name w:val="hps atn"/>
    <w:rPr>
      <w:rFonts w:ascii="Times New Roman" w:eastAsia="Times New Roman" w:hAnsi="Times New Roman" w:cs="Times New Roman"/>
    </w:rPr>
  </w:style>
  <w:style w:type="character" w:customStyle="1" w:styleId="shorttext">
    <w:name w:val="short_text"/>
    <w:rPr>
      <w:rFonts w:ascii="Times New Roman" w:eastAsia="Times New Roman" w:hAnsi="Times New Roman" w:cs="Times New Roman"/>
    </w:rPr>
  </w:style>
  <w:style w:type="character" w:customStyle="1" w:styleId="hpsalt-edited">
    <w:name w:val="hps alt-edited"/>
    <w:rPr>
      <w:rFonts w:ascii="Times New Roman" w:eastAsia="Times New Roman" w:hAnsi="Times New Roman" w:cs="Times New Roman"/>
    </w:rPr>
  </w:style>
  <w:style w:type="character" w:customStyle="1" w:styleId="a3">
    <w:name w:val="Текст выноски Знак"/>
    <w:rPr>
      <w:rFonts w:ascii="Segoe UI" w:eastAsia="Times New Roman" w:hAnsi="Segoe UI" w:cs="Segoe UI"/>
      <w:sz w:val="18"/>
      <w:szCs w:val="18"/>
    </w:rPr>
  </w:style>
  <w:style w:type="character" w:styleId="a4">
    <w:name w:val="Strong"/>
    <w:qFormat/>
    <w:rPr>
      <w:rFonts w:ascii="Times New Roman" w:eastAsia="Times New Roman" w:hAnsi="Times New Roman" w:cs="Times New Roman"/>
      <w:b/>
      <w:bCs/>
    </w:rPr>
  </w:style>
  <w:style w:type="paragraph" w:customStyle="1" w:styleId="a5">
    <w:name w:val="Заголовок"/>
    <w:basedOn w:val="a"/>
    <w:next w:val="a6"/>
    <w:pPr>
      <w:keepNext/>
      <w:spacing w:before="240" w:after="120"/>
    </w:pPr>
    <w:rPr>
      <w:rFonts w:ascii="Arial" w:eastAsia="Arial Unicode MS"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32">
    <w:name w:val="Название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rPr>
  </w:style>
  <w:style w:type="paragraph" w:customStyle="1" w:styleId="21">
    <w:name w:val="Указатель2"/>
    <w:basedOn w:val="a"/>
    <w:pPr>
      <w:suppressLineNumbers/>
    </w:pPr>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8">
    <w:name w:val="Balloon Text"/>
    <w:basedOn w:val="a"/>
    <w:rPr>
      <w:rFonts w:ascii="Segoe UI" w:hAnsi="Segoe UI"/>
      <w:sz w:val="18"/>
      <w:szCs w:val="18"/>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character" w:styleId="ab">
    <w:name w:val="Hyperlink"/>
    <w:basedOn w:val="a0"/>
    <w:uiPriority w:val="99"/>
    <w:rPr>
      <w:color w:val="0000FF"/>
      <w:u w:val="single"/>
    </w:rPr>
  </w:style>
  <w:style w:type="paragraph" w:styleId="ac">
    <w:name w:val="List Paragraph"/>
    <w:basedOn w:val="a"/>
    <w:uiPriority w:val="34"/>
    <w:qFormat/>
    <w:pPr>
      <w:ind w:left="720"/>
      <w:contextualSpacing/>
    </w:pPr>
  </w:style>
  <w:style w:type="character" w:customStyle="1" w:styleId="apple-converted-space">
    <w:name w:val="apple-converted-spac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Scientific_guideline/2010/04/WC500089956.pdf" TargetMode="External"/><Relationship Id="rId3" Type="http://schemas.openxmlformats.org/officeDocument/2006/relationships/styles" Target="styles.xml"/><Relationship Id="rId7" Type="http://schemas.openxmlformats.org/officeDocument/2006/relationships/hyperlink" Target="http://www.ema.europa.eu/docs/en_GB/document_library/Scientific_guideline/2010/04/WC50008995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ecy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D9650-C8DC-4B4E-B751-0EAA6053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2305</Words>
  <Characters>13140</Characters>
  <Application>Microsoft Office Word</Application>
  <DocSecurity>0</DocSecurity>
  <Lines>109</Lines>
  <Paragraphs>30</Paragraphs>
  <ScaleCrop>false</ScaleCrop>
  <Company>SPecialiST RePack</Company>
  <LinksUpToDate>false</LinksUpToDate>
  <CharactersWithSpaces>15415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Одним з найважливіших джерел для створення лікарських засобів є лікарська рослинна сировина</dc:title>
  <dc:creator>Your User Name</dc:creator>
  <cp:lastModifiedBy>admin</cp:lastModifiedBy>
  <cp:revision>10</cp:revision>
  <cp:lastPrinted>2016-11-06T07:45:00Z</cp:lastPrinted>
  <dcterms:created xsi:type="dcterms:W3CDTF">2017-01-16T06:52:00Z</dcterms:created>
  <dcterms:modified xsi:type="dcterms:W3CDTF">2017-05-12T14:58:00Z</dcterms:modified>
</cp:coreProperties>
</file>